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19D0" w:rsidRPr="003819D0" w:rsidRDefault="003819D0" w:rsidP="003819D0">
      <w:pPr>
        <w:spacing w:before="100" w:beforeAutospacing="1" w:after="100" w:afterAutospacing="1" w:line="240" w:lineRule="auto"/>
        <w:outlineLvl w:val="0"/>
        <w:rPr>
          <w:rFonts w:ascii="Times New Roman" w:hAnsi="Times New Roman"/>
          <w:b/>
          <w:bCs/>
          <w:kern w:val="36"/>
          <w:sz w:val="48"/>
          <w:szCs w:val="48"/>
          <w:lang w:eastAsia="it-IT"/>
        </w:rPr>
      </w:pPr>
      <w:r w:rsidRPr="003819D0">
        <w:rPr>
          <w:rFonts w:ascii="Times New Roman" w:hAnsi="Times New Roman"/>
          <w:b/>
          <w:bCs/>
          <w:kern w:val="36"/>
          <w:sz w:val="48"/>
          <w:szCs w:val="48"/>
          <w:lang w:eastAsia="it-IT"/>
        </w:rPr>
        <w:t>Personale ATA e DDL scuola: noi abbiamo un’idea diversa</w:t>
      </w:r>
    </w:p>
    <w:p w:rsidR="003819D0" w:rsidRPr="003819D0" w:rsidRDefault="003819D0" w:rsidP="003819D0">
      <w:pPr>
        <w:spacing w:before="100" w:beforeAutospacing="1" w:after="100" w:afterAutospacing="1" w:line="240" w:lineRule="auto"/>
        <w:outlineLvl w:val="3"/>
        <w:rPr>
          <w:rFonts w:ascii="Times New Roman" w:hAnsi="Times New Roman"/>
          <w:b/>
          <w:bCs/>
          <w:sz w:val="24"/>
          <w:szCs w:val="24"/>
          <w:lang w:eastAsia="it-IT"/>
        </w:rPr>
      </w:pPr>
      <w:r w:rsidRPr="003819D0">
        <w:rPr>
          <w:rFonts w:ascii="Times New Roman" w:hAnsi="Times New Roman"/>
          <w:b/>
          <w:bCs/>
          <w:sz w:val="24"/>
          <w:szCs w:val="24"/>
          <w:lang w:eastAsia="it-IT"/>
        </w:rPr>
        <w:t>Il nostro primo approfondimento tematico sul disegno di legge del Governo di riforma della scuola e le nostre proposte di modifica.</w:t>
      </w:r>
    </w:p>
    <w:p w:rsidR="003819D0" w:rsidRPr="003819D0" w:rsidRDefault="003819D0" w:rsidP="003819D0">
      <w:pPr>
        <w:spacing w:line="240" w:lineRule="auto"/>
        <w:rPr>
          <w:rFonts w:ascii="Times New Roman" w:hAnsi="Times New Roman"/>
          <w:sz w:val="24"/>
          <w:szCs w:val="24"/>
          <w:lang w:eastAsia="it-IT"/>
        </w:rPr>
      </w:pPr>
      <w:r w:rsidRPr="003819D0">
        <w:rPr>
          <w:rFonts w:ascii="Times New Roman" w:hAnsi="Times New Roman"/>
          <w:b/>
          <w:bCs/>
          <w:sz w:val="24"/>
          <w:szCs w:val="24"/>
          <w:lang w:eastAsia="it-IT"/>
        </w:rPr>
        <w:t>14/04/2015</w:t>
      </w:r>
    </w:p>
    <w:p w:rsidR="003819D0" w:rsidRPr="003819D0" w:rsidRDefault="003819D0" w:rsidP="003819D0">
      <w:pPr>
        <w:spacing w:before="100" w:beforeAutospacing="1" w:after="100" w:afterAutospacing="1" w:line="240" w:lineRule="auto"/>
        <w:ind w:left="720"/>
        <w:rPr>
          <w:rFonts w:ascii="Times New Roman" w:hAnsi="Times New Roman"/>
          <w:sz w:val="24"/>
          <w:szCs w:val="24"/>
          <w:lang w:eastAsia="it-IT"/>
        </w:rPr>
      </w:pPr>
      <w:bookmarkStart w:id="0" w:name="_GoBack"/>
      <w:bookmarkEnd w:id="0"/>
    </w:p>
    <w:p w:rsidR="003819D0" w:rsidRPr="003819D0" w:rsidRDefault="003819D0" w:rsidP="003819D0">
      <w:pPr>
        <w:spacing w:before="100" w:beforeAutospacing="1" w:after="100" w:afterAutospacing="1" w:line="240" w:lineRule="auto"/>
        <w:outlineLvl w:val="3"/>
        <w:rPr>
          <w:rFonts w:ascii="Times New Roman" w:hAnsi="Times New Roman"/>
          <w:b/>
          <w:bCs/>
          <w:sz w:val="24"/>
          <w:szCs w:val="24"/>
          <w:lang w:eastAsia="it-IT"/>
        </w:rPr>
      </w:pPr>
      <w:r w:rsidRPr="003819D0">
        <w:rPr>
          <w:rFonts w:ascii="Times New Roman" w:hAnsi="Times New Roman"/>
          <w:b/>
          <w:bCs/>
          <w:sz w:val="24"/>
          <w:szCs w:val="24"/>
          <w:lang w:eastAsia="it-IT"/>
        </w:rPr>
        <w:t>Stabilizzazione, organico funzionale e di rete</w:t>
      </w:r>
    </w:p>
    <w:p w:rsidR="003819D0" w:rsidRPr="003819D0" w:rsidRDefault="003819D0" w:rsidP="003819D0">
      <w:pPr>
        <w:spacing w:before="100" w:beforeAutospacing="1" w:after="100" w:afterAutospacing="1" w:line="240" w:lineRule="auto"/>
        <w:rPr>
          <w:rFonts w:ascii="Times New Roman" w:hAnsi="Times New Roman"/>
          <w:sz w:val="24"/>
          <w:szCs w:val="24"/>
          <w:lang w:eastAsia="it-IT"/>
        </w:rPr>
      </w:pPr>
      <w:r w:rsidRPr="003819D0">
        <w:rPr>
          <w:rFonts w:ascii="Times New Roman" w:hAnsi="Times New Roman"/>
          <w:sz w:val="24"/>
          <w:szCs w:val="24"/>
          <w:lang w:eastAsia="it-IT"/>
        </w:rPr>
        <w:t>Oggi la questione più urgente e importante da definire per il settore ATA è la previsione di un piano di stabilizzazione e dell’organico funzionale.</w:t>
      </w:r>
      <w:r w:rsidRPr="003819D0">
        <w:rPr>
          <w:rFonts w:ascii="Times New Roman" w:hAnsi="Times New Roman"/>
          <w:sz w:val="24"/>
          <w:szCs w:val="24"/>
          <w:lang w:eastAsia="it-IT"/>
        </w:rPr>
        <w:br/>
        <w:t xml:space="preserve">All’assenza totale di un piano </w:t>
      </w:r>
      <w:proofErr w:type="spellStart"/>
      <w:r w:rsidRPr="003819D0">
        <w:rPr>
          <w:rFonts w:ascii="Times New Roman" w:hAnsi="Times New Roman"/>
          <w:sz w:val="24"/>
          <w:szCs w:val="24"/>
          <w:lang w:eastAsia="it-IT"/>
        </w:rPr>
        <w:t>assunzionale</w:t>
      </w:r>
      <w:proofErr w:type="spellEnd"/>
      <w:r w:rsidRPr="003819D0">
        <w:rPr>
          <w:rFonts w:ascii="Times New Roman" w:hAnsi="Times New Roman"/>
          <w:sz w:val="24"/>
          <w:szCs w:val="24"/>
          <w:lang w:eastAsia="it-IT"/>
        </w:rPr>
        <w:t xml:space="preserve"> e di un organico funzionale, al divieto a stipulare contratti a tempo determinato su posti vacanti e disponibili per più di 36 mesi anche non continuativi nel </w:t>
      </w:r>
      <w:hyperlink r:id="rId6" w:history="1">
        <w:r w:rsidRPr="003819D0">
          <w:rPr>
            <w:rFonts w:ascii="Times New Roman" w:hAnsi="Times New Roman"/>
            <w:color w:val="0000FF"/>
            <w:sz w:val="24"/>
            <w:szCs w:val="24"/>
            <w:u w:val="single"/>
            <w:lang w:eastAsia="it-IT"/>
          </w:rPr>
          <w:t>DDL scuola del Governo</w:t>
        </w:r>
      </w:hyperlink>
      <w:r w:rsidRPr="003819D0">
        <w:rPr>
          <w:rFonts w:ascii="Times New Roman" w:hAnsi="Times New Roman"/>
          <w:sz w:val="24"/>
          <w:szCs w:val="24"/>
          <w:lang w:eastAsia="it-IT"/>
        </w:rPr>
        <w:t>, vanno affiancati anche i nuovi tagli di organico, le misure di blocco/contenimento delle supplenze, nonché il blocco del turn over sugli amministrativi disposti dalla legge di Stabilità 2015 che impediranno, per il prossimo anno, alle scuole un regolare funzionamento e di assicurare l’applicazione delle normative di sicurezza.</w:t>
      </w:r>
      <w:r w:rsidRPr="003819D0">
        <w:rPr>
          <w:rFonts w:ascii="Times New Roman" w:hAnsi="Times New Roman"/>
          <w:sz w:val="24"/>
          <w:szCs w:val="24"/>
          <w:lang w:eastAsia="it-IT"/>
        </w:rPr>
        <w:br/>
        <w:t>Le misure introdotte con la legge di Stabilità devono essere assolutamente cambiate, soprattutto in assenza di una previsione per l’organico funzionale, poiché impediscono di fare le sostituzioni per assistenti amministrativi e assistenti tecnici, soprattutto per i lunghi periodi. Se vogliamo tutelare i livelli essenziali delle prestazioni nella scuola, occorrerà modificare, anzitutto, queste norme che non garantiscono affatto la “stabilità” della scuola.</w:t>
      </w:r>
      <w:r w:rsidRPr="003819D0">
        <w:rPr>
          <w:rFonts w:ascii="Times New Roman" w:hAnsi="Times New Roman"/>
          <w:sz w:val="24"/>
          <w:szCs w:val="24"/>
          <w:lang w:eastAsia="it-IT"/>
        </w:rPr>
        <w:br/>
        <w:t>Inoltre, il DDL scuola contiene disposizioni di dubbia costituzionalità, poiché in palese violazione con la normativa Europea che prevede, dopo 3 anni, la stabilizzazione del rapporto di lavoro (nonostante i diritti acquisiti da coloro che sono nelle graduatorie).</w:t>
      </w:r>
      <w:r w:rsidRPr="003819D0">
        <w:rPr>
          <w:rFonts w:ascii="Times New Roman" w:hAnsi="Times New Roman"/>
          <w:sz w:val="24"/>
          <w:szCs w:val="24"/>
          <w:lang w:eastAsia="it-IT"/>
        </w:rPr>
        <w:br/>
        <w:t>Noi reclamiamo un piano di assunzioni e un organico finalizzati a eliminare il problema delle supplenze e a rimuovere in concreto le difficoltà organizzative, per dare un maggiore supporto all’attività didattica e rendere concreta l’autonomia scolastica, superando l’obsoleta separazione tra organico di diritto e di fatto.</w:t>
      </w:r>
      <w:r w:rsidRPr="003819D0">
        <w:rPr>
          <w:rFonts w:ascii="Times New Roman" w:hAnsi="Times New Roman"/>
          <w:sz w:val="24"/>
          <w:szCs w:val="24"/>
          <w:lang w:eastAsia="it-IT"/>
        </w:rPr>
        <w:br/>
        <w:t>La scuola non è fatta solo dai docenti e gli organici dell’autonomia, così come il potenziamento dell’offerta formativa e l’ampliamento del tempo scuola, hanno bisogno anche del personale ATA per il funzionamento organizzativo ai fini delle esigenze didattiche.</w:t>
      </w:r>
      <w:r w:rsidRPr="003819D0">
        <w:rPr>
          <w:rFonts w:ascii="Times New Roman" w:hAnsi="Times New Roman"/>
          <w:sz w:val="24"/>
          <w:szCs w:val="24"/>
          <w:lang w:eastAsia="it-IT"/>
        </w:rPr>
        <w:br/>
        <w:t>Il dato concreto è che in questo momento alla scuola manca un organico sufficiente ai propri bisogni basilari di funzionalità, che sono:</w:t>
      </w:r>
    </w:p>
    <w:p w:rsidR="003819D0" w:rsidRPr="003819D0" w:rsidRDefault="003819D0" w:rsidP="003819D0">
      <w:pPr>
        <w:numPr>
          <w:ilvl w:val="0"/>
          <w:numId w:val="2"/>
        </w:numPr>
        <w:spacing w:before="100" w:beforeAutospacing="1" w:after="100" w:afterAutospacing="1" w:line="240" w:lineRule="auto"/>
        <w:rPr>
          <w:rFonts w:ascii="Times New Roman" w:hAnsi="Times New Roman"/>
          <w:sz w:val="24"/>
          <w:szCs w:val="24"/>
          <w:lang w:eastAsia="it-IT"/>
        </w:rPr>
      </w:pPr>
      <w:r w:rsidRPr="003819D0">
        <w:rPr>
          <w:rFonts w:ascii="Times New Roman" w:hAnsi="Times New Roman"/>
          <w:sz w:val="24"/>
          <w:szCs w:val="24"/>
          <w:lang w:eastAsia="it-IT"/>
        </w:rPr>
        <w:t>mantenere aperti i plessi,</w:t>
      </w:r>
    </w:p>
    <w:p w:rsidR="003819D0" w:rsidRPr="003819D0" w:rsidRDefault="003819D0" w:rsidP="003819D0">
      <w:pPr>
        <w:numPr>
          <w:ilvl w:val="0"/>
          <w:numId w:val="2"/>
        </w:numPr>
        <w:spacing w:before="100" w:beforeAutospacing="1" w:after="100" w:afterAutospacing="1" w:line="240" w:lineRule="auto"/>
        <w:rPr>
          <w:rFonts w:ascii="Times New Roman" w:hAnsi="Times New Roman"/>
          <w:sz w:val="24"/>
          <w:szCs w:val="24"/>
          <w:lang w:eastAsia="it-IT"/>
        </w:rPr>
      </w:pPr>
      <w:r w:rsidRPr="003819D0">
        <w:rPr>
          <w:rFonts w:ascii="Times New Roman" w:hAnsi="Times New Roman"/>
          <w:sz w:val="24"/>
          <w:szCs w:val="24"/>
          <w:lang w:eastAsia="it-IT"/>
        </w:rPr>
        <w:t>conservare e ampliare il tempo scuola,</w:t>
      </w:r>
    </w:p>
    <w:p w:rsidR="003819D0" w:rsidRPr="003819D0" w:rsidRDefault="003819D0" w:rsidP="003819D0">
      <w:pPr>
        <w:numPr>
          <w:ilvl w:val="0"/>
          <w:numId w:val="2"/>
        </w:numPr>
        <w:spacing w:before="100" w:beforeAutospacing="1" w:after="100" w:afterAutospacing="1" w:line="240" w:lineRule="auto"/>
        <w:rPr>
          <w:rFonts w:ascii="Times New Roman" w:hAnsi="Times New Roman"/>
          <w:sz w:val="24"/>
          <w:szCs w:val="24"/>
          <w:lang w:eastAsia="it-IT"/>
        </w:rPr>
      </w:pPr>
      <w:r w:rsidRPr="003819D0">
        <w:rPr>
          <w:rFonts w:ascii="Times New Roman" w:hAnsi="Times New Roman"/>
          <w:sz w:val="24"/>
          <w:szCs w:val="24"/>
          <w:lang w:eastAsia="it-IT"/>
        </w:rPr>
        <w:t>assicurare la vigilanza ai piani,</w:t>
      </w:r>
    </w:p>
    <w:p w:rsidR="003819D0" w:rsidRPr="003819D0" w:rsidRDefault="003819D0" w:rsidP="003819D0">
      <w:pPr>
        <w:numPr>
          <w:ilvl w:val="0"/>
          <w:numId w:val="2"/>
        </w:numPr>
        <w:spacing w:before="100" w:beforeAutospacing="1" w:after="100" w:afterAutospacing="1" w:line="240" w:lineRule="auto"/>
        <w:rPr>
          <w:rFonts w:ascii="Times New Roman" w:hAnsi="Times New Roman"/>
          <w:sz w:val="24"/>
          <w:szCs w:val="24"/>
          <w:lang w:eastAsia="it-IT"/>
        </w:rPr>
      </w:pPr>
      <w:r w:rsidRPr="003819D0">
        <w:rPr>
          <w:rFonts w:ascii="Times New Roman" w:hAnsi="Times New Roman"/>
          <w:sz w:val="24"/>
          <w:szCs w:val="24"/>
          <w:lang w:eastAsia="it-IT"/>
        </w:rPr>
        <w:t>garantire la sicurezza e l’assistenza alla disabilità,</w:t>
      </w:r>
    </w:p>
    <w:p w:rsidR="003819D0" w:rsidRPr="003819D0" w:rsidRDefault="003819D0" w:rsidP="003819D0">
      <w:pPr>
        <w:numPr>
          <w:ilvl w:val="0"/>
          <w:numId w:val="2"/>
        </w:numPr>
        <w:spacing w:before="100" w:beforeAutospacing="1" w:after="100" w:afterAutospacing="1" w:line="240" w:lineRule="auto"/>
        <w:rPr>
          <w:rFonts w:ascii="Times New Roman" w:hAnsi="Times New Roman"/>
          <w:sz w:val="24"/>
          <w:szCs w:val="24"/>
          <w:lang w:eastAsia="it-IT"/>
        </w:rPr>
      </w:pPr>
      <w:r w:rsidRPr="003819D0">
        <w:rPr>
          <w:rFonts w:ascii="Times New Roman" w:hAnsi="Times New Roman"/>
          <w:sz w:val="24"/>
          <w:szCs w:val="24"/>
          <w:lang w:eastAsia="it-IT"/>
        </w:rPr>
        <w:t>eseguire gli innumerevoli e crescenti adempimenti amministrativo-burocratici,</w:t>
      </w:r>
    </w:p>
    <w:p w:rsidR="003819D0" w:rsidRPr="003819D0" w:rsidRDefault="003819D0" w:rsidP="003819D0">
      <w:pPr>
        <w:numPr>
          <w:ilvl w:val="0"/>
          <w:numId w:val="2"/>
        </w:numPr>
        <w:spacing w:before="100" w:beforeAutospacing="1" w:after="100" w:afterAutospacing="1" w:line="240" w:lineRule="auto"/>
        <w:rPr>
          <w:rFonts w:ascii="Times New Roman" w:hAnsi="Times New Roman"/>
          <w:sz w:val="24"/>
          <w:szCs w:val="24"/>
          <w:lang w:eastAsia="it-IT"/>
        </w:rPr>
      </w:pPr>
      <w:r w:rsidRPr="003819D0">
        <w:rPr>
          <w:rFonts w:ascii="Times New Roman" w:hAnsi="Times New Roman"/>
          <w:sz w:val="24"/>
          <w:szCs w:val="24"/>
          <w:lang w:eastAsia="it-IT"/>
        </w:rPr>
        <w:t>sostenere la gestione dei laboratori e il supporto alla didattica laboratoriale,</w:t>
      </w:r>
    </w:p>
    <w:p w:rsidR="003819D0" w:rsidRPr="003819D0" w:rsidRDefault="003819D0" w:rsidP="003819D0">
      <w:pPr>
        <w:numPr>
          <w:ilvl w:val="0"/>
          <w:numId w:val="2"/>
        </w:numPr>
        <w:spacing w:before="100" w:beforeAutospacing="1" w:after="100" w:afterAutospacing="1" w:line="240" w:lineRule="auto"/>
        <w:rPr>
          <w:rFonts w:ascii="Times New Roman" w:hAnsi="Times New Roman"/>
          <w:sz w:val="24"/>
          <w:szCs w:val="24"/>
          <w:lang w:eastAsia="it-IT"/>
        </w:rPr>
      </w:pPr>
      <w:r w:rsidRPr="003819D0">
        <w:rPr>
          <w:rFonts w:ascii="Times New Roman" w:hAnsi="Times New Roman"/>
          <w:sz w:val="24"/>
          <w:szCs w:val="24"/>
          <w:lang w:eastAsia="it-IT"/>
        </w:rPr>
        <w:t>supportare il potenziamento dell’offerta formativa,</w:t>
      </w:r>
    </w:p>
    <w:p w:rsidR="003819D0" w:rsidRPr="003819D0" w:rsidRDefault="003819D0" w:rsidP="003819D0">
      <w:pPr>
        <w:numPr>
          <w:ilvl w:val="0"/>
          <w:numId w:val="2"/>
        </w:numPr>
        <w:spacing w:before="100" w:beforeAutospacing="1" w:after="100" w:afterAutospacing="1" w:line="240" w:lineRule="auto"/>
        <w:rPr>
          <w:rFonts w:ascii="Times New Roman" w:hAnsi="Times New Roman"/>
          <w:sz w:val="24"/>
          <w:szCs w:val="24"/>
          <w:lang w:eastAsia="it-IT"/>
        </w:rPr>
      </w:pPr>
      <w:r w:rsidRPr="003819D0">
        <w:rPr>
          <w:rFonts w:ascii="Times New Roman" w:hAnsi="Times New Roman"/>
          <w:sz w:val="24"/>
          <w:szCs w:val="24"/>
          <w:lang w:eastAsia="it-IT"/>
        </w:rPr>
        <w:t>salvaguardare i servizi all’utenza.</w:t>
      </w:r>
    </w:p>
    <w:p w:rsidR="003819D0" w:rsidRPr="003819D0" w:rsidRDefault="003819D0" w:rsidP="003819D0">
      <w:pPr>
        <w:spacing w:before="100" w:beforeAutospacing="1" w:after="100" w:afterAutospacing="1" w:line="240" w:lineRule="auto"/>
        <w:rPr>
          <w:rFonts w:ascii="Times New Roman" w:hAnsi="Times New Roman"/>
          <w:sz w:val="24"/>
          <w:szCs w:val="24"/>
          <w:lang w:eastAsia="it-IT"/>
        </w:rPr>
      </w:pPr>
      <w:r w:rsidRPr="003819D0">
        <w:rPr>
          <w:rFonts w:ascii="Times New Roman" w:hAnsi="Times New Roman"/>
          <w:sz w:val="24"/>
          <w:szCs w:val="24"/>
          <w:lang w:eastAsia="it-IT"/>
        </w:rPr>
        <w:t>Assicurare tutto questo è sicuramente fondamentale e rappresenta anche un fattore di qualità per la scuola, per essere considerata davvero una “Buona Scuola”.</w:t>
      </w:r>
      <w:r w:rsidRPr="003819D0">
        <w:rPr>
          <w:rFonts w:ascii="Times New Roman" w:hAnsi="Times New Roman"/>
          <w:sz w:val="24"/>
          <w:szCs w:val="24"/>
          <w:lang w:eastAsia="it-IT"/>
        </w:rPr>
        <w:br/>
      </w:r>
      <w:r w:rsidRPr="003819D0">
        <w:rPr>
          <w:rFonts w:ascii="Times New Roman" w:hAnsi="Times New Roman"/>
          <w:sz w:val="24"/>
          <w:szCs w:val="24"/>
          <w:lang w:eastAsia="it-IT"/>
        </w:rPr>
        <w:lastRenderedPageBreak/>
        <w:t xml:space="preserve">Sulle assunzioni reclamiamo fin da subito un provvedimento urgente per tutti i precari ATA (su tutti i profili, compreso il </w:t>
      </w:r>
      <w:proofErr w:type="spellStart"/>
      <w:r w:rsidRPr="003819D0">
        <w:rPr>
          <w:rFonts w:ascii="Times New Roman" w:hAnsi="Times New Roman"/>
          <w:sz w:val="24"/>
          <w:szCs w:val="24"/>
          <w:lang w:eastAsia="it-IT"/>
        </w:rPr>
        <w:t>Dsga</w:t>
      </w:r>
      <w:proofErr w:type="spellEnd"/>
      <w:r w:rsidRPr="003819D0">
        <w:rPr>
          <w:rFonts w:ascii="Times New Roman" w:hAnsi="Times New Roman"/>
          <w:sz w:val="24"/>
          <w:szCs w:val="24"/>
          <w:lang w:eastAsia="it-IT"/>
        </w:rPr>
        <w:t>) con i requisiti indicati nella sentenza della Corte Europea di Giustizia, garantendo loro, nello stesso tempo, la progressione di carriera. Così facendo ci sarebbe l’immediata commutazione in organico di diritto dei circa 5.000 posti autorizzati ogni anno in organico di fatto, con altrettante assunzioni a favore dei precari. Intanto siamo disposti a rilanciare la vertenzialità.</w:t>
      </w:r>
      <w:r w:rsidRPr="003819D0">
        <w:rPr>
          <w:rFonts w:ascii="Times New Roman" w:hAnsi="Times New Roman"/>
          <w:sz w:val="24"/>
          <w:szCs w:val="24"/>
          <w:lang w:eastAsia="it-IT"/>
        </w:rPr>
        <w:br/>
        <w:t>Per realizzare quest’obiettivo occorre, per di più, l’aggiunta di un organico di rete con la previsione dell’inserimento degli assistenti tecnici anche nelle scuole del 1° ciclo, dal momento che ci sono oltre 20.000 laboratori funzionanti senza tecnici e l’assistente tecnico è da considerare una figura di riferimento come amministratore di sistema e nell’applicazione delle normative sulla trasparenza.</w:t>
      </w:r>
      <w:r w:rsidRPr="003819D0">
        <w:rPr>
          <w:rFonts w:ascii="Times New Roman" w:hAnsi="Times New Roman"/>
          <w:sz w:val="24"/>
          <w:szCs w:val="24"/>
          <w:lang w:eastAsia="it-IT"/>
        </w:rPr>
        <w:br/>
        <w:t>Questo profilo è di fondamentale supporto alle innovazioni tecnologiche e digitali che il Governo sembra intenzionato a sostenere (</w:t>
      </w:r>
      <w:r w:rsidRPr="003819D0">
        <w:rPr>
          <w:rFonts w:ascii="Times New Roman" w:hAnsi="Times New Roman"/>
          <w:i/>
          <w:iCs/>
          <w:sz w:val="24"/>
          <w:szCs w:val="24"/>
          <w:lang w:eastAsia="it-IT"/>
        </w:rPr>
        <w:t>art. 5 DDL scuola</w:t>
      </w:r>
      <w:r w:rsidRPr="003819D0">
        <w:rPr>
          <w:rFonts w:ascii="Times New Roman" w:hAnsi="Times New Roman"/>
          <w:sz w:val="24"/>
          <w:szCs w:val="24"/>
          <w:lang w:eastAsia="it-IT"/>
        </w:rPr>
        <w:t>). È da tempo che proponiamo pure la definizione di tabelle nazionali per l’organico degli assistenti tecnici, come quelle già previste per gli altri profili, dato che la loro determinazione da parte delle Giunte esecutive è anacronistica e non garantisce trasparenza e imparzialità.</w:t>
      </w:r>
      <w:r w:rsidRPr="003819D0">
        <w:rPr>
          <w:rFonts w:ascii="Times New Roman" w:hAnsi="Times New Roman"/>
          <w:sz w:val="24"/>
          <w:szCs w:val="24"/>
          <w:lang w:eastAsia="it-IT"/>
        </w:rPr>
        <w:br/>
        <w:t xml:space="preserve">Queste due operazioni, </w:t>
      </w:r>
      <w:r w:rsidRPr="003819D0">
        <w:rPr>
          <w:rFonts w:ascii="Times New Roman" w:hAnsi="Times New Roman"/>
          <w:i/>
          <w:iCs/>
          <w:sz w:val="24"/>
          <w:szCs w:val="24"/>
          <w:lang w:eastAsia="it-IT"/>
        </w:rPr>
        <w:t>stabilizzazione e organico funzionale</w:t>
      </w:r>
      <w:r w:rsidRPr="003819D0">
        <w:rPr>
          <w:rFonts w:ascii="Times New Roman" w:hAnsi="Times New Roman"/>
          <w:sz w:val="24"/>
          <w:szCs w:val="24"/>
          <w:lang w:eastAsia="it-IT"/>
        </w:rPr>
        <w:t>, devono andare di pari passo.</w:t>
      </w:r>
    </w:p>
    <w:p w:rsidR="003819D0" w:rsidRPr="003819D0" w:rsidRDefault="003819D0" w:rsidP="003819D0">
      <w:pPr>
        <w:spacing w:before="100" w:beforeAutospacing="1" w:after="100" w:afterAutospacing="1" w:line="240" w:lineRule="auto"/>
        <w:outlineLvl w:val="3"/>
        <w:rPr>
          <w:rFonts w:ascii="Times New Roman" w:hAnsi="Times New Roman"/>
          <w:b/>
          <w:bCs/>
          <w:sz w:val="24"/>
          <w:szCs w:val="24"/>
          <w:lang w:eastAsia="it-IT"/>
        </w:rPr>
      </w:pPr>
      <w:r w:rsidRPr="003819D0">
        <w:rPr>
          <w:rFonts w:ascii="Times New Roman" w:hAnsi="Times New Roman"/>
          <w:b/>
          <w:bCs/>
          <w:sz w:val="24"/>
          <w:szCs w:val="24"/>
          <w:lang w:eastAsia="it-IT"/>
        </w:rPr>
        <w:t xml:space="preserve">Stabilizzazione facenti funzione </w:t>
      </w:r>
      <w:proofErr w:type="spellStart"/>
      <w:r w:rsidRPr="003819D0">
        <w:rPr>
          <w:rFonts w:ascii="Times New Roman" w:hAnsi="Times New Roman"/>
          <w:b/>
          <w:bCs/>
          <w:sz w:val="24"/>
          <w:szCs w:val="24"/>
          <w:lang w:eastAsia="it-IT"/>
        </w:rPr>
        <w:t>Dsga</w:t>
      </w:r>
      <w:proofErr w:type="spellEnd"/>
    </w:p>
    <w:p w:rsidR="003819D0" w:rsidRPr="003819D0" w:rsidRDefault="003819D0" w:rsidP="003819D0">
      <w:pPr>
        <w:spacing w:before="100" w:beforeAutospacing="1" w:after="100" w:afterAutospacing="1" w:line="240" w:lineRule="auto"/>
        <w:rPr>
          <w:rFonts w:ascii="Times New Roman" w:hAnsi="Times New Roman"/>
          <w:sz w:val="24"/>
          <w:szCs w:val="24"/>
          <w:lang w:eastAsia="it-IT"/>
        </w:rPr>
      </w:pPr>
      <w:r w:rsidRPr="003819D0">
        <w:rPr>
          <w:rFonts w:ascii="Times New Roman" w:hAnsi="Times New Roman"/>
          <w:sz w:val="24"/>
          <w:szCs w:val="24"/>
          <w:lang w:eastAsia="it-IT"/>
        </w:rPr>
        <w:t xml:space="preserve">C’è un altro aspetto della stabilizzazione che è importante tenere in considerazione, poiché è dal 2000 che non sono stati più previsti concorsi ordinari o riservati (neanche sul turn over, nonostante l’autorizzazione della Corte dei Conti a 450 posti, data dal DPCM del 21/04/2011) per i tanti assistenti amministrativi facenti funzione da </w:t>
      </w:r>
      <w:proofErr w:type="spellStart"/>
      <w:r w:rsidRPr="003819D0">
        <w:rPr>
          <w:rFonts w:ascii="Times New Roman" w:hAnsi="Times New Roman"/>
          <w:sz w:val="24"/>
          <w:szCs w:val="24"/>
          <w:lang w:eastAsia="it-IT"/>
        </w:rPr>
        <w:t>Dsga</w:t>
      </w:r>
      <w:proofErr w:type="spellEnd"/>
      <w:r w:rsidRPr="003819D0">
        <w:rPr>
          <w:rFonts w:ascii="Times New Roman" w:hAnsi="Times New Roman"/>
          <w:sz w:val="24"/>
          <w:szCs w:val="24"/>
          <w:lang w:eastAsia="it-IT"/>
        </w:rPr>
        <w:t>, che da decenni lo sostituiscono senza avere alcuna possibilità di valorizzazione stipendiale, né di una progressione di carriera.</w:t>
      </w:r>
      <w:r w:rsidRPr="003819D0">
        <w:rPr>
          <w:rFonts w:ascii="Times New Roman" w:hAnsi="Times New Roman"/>
          <w:sz w:val="24"/>
          <w:szCs w:val="24"/>
          <w:lang w:eastAsia="it-IT"/>
        </w:rPr>
        <w:br/>
        <w:t xml:space="preserve">Noi riteniamo inderogabile l’esigenza di un piano </w:t>
      </w:r>
      <w:proofErr w:type="spellStart"/>
      <w:r w:rsidRPr="003819D0">
        <w:rPr>
          <w:rFonts w:ascii="Times New Roman" w:hAnsi="Times New Roman"/>
          <w:sz w:val="24"/>
          <w:szCs w:val="24"/>
          <w:lang w:eastAsia="it-IT"/>
        </w:rPr>
        <w:t>assunzionale</w:t>
      </w:r>
      <w:proofErr w:type="spellEnd"/>
      <w:r w:rsidRPr="003819D0">
        <w:rPr>
          <w:rFonts w:ascii="Times New Roman" w:hAnsi="Times New Roman"/>
          <w:sz w:val="24"/>
          <w:szCs w:val="24"/>
          <w:lang w:eastAsia="it-IT"/>
        </w:rPr>
        <w:t xml:space="preserve"> anche per i </w:t>
      </w:r>
      <w:proofErr w:type="spellStart"/>
      <w:r w:rsidRPr="003819D0">
        <w:rPr>
          <w:rFonts w:ascii="Times New Roman" w:hAnsi="Times New Roman"/>
          <w:sz w:val="24"/>
          <w:szCs w:val="24"/>
          <w:lang w:eastAsia="it-IT"/>
        </w:rPr>
        <w:t>Dsga</w:t>
      </w:r>
      <w:proofErr w:type="spellEnd"/>
      <w:r w:rsidRPr="003819D0">
        <w:rPr>
          <w:rFonts w:ascii="Times New Roman" w:hAnsi="Times New Roman"/>
          <w:sz w:val="24"/>
          <w:szCs w:val="24"/>
          <w:lang w:eastAsia="it-IT"/>
        </w:rPr>
        <w:t>, tramite l’indizione dei concorsi ordinario e riservato, per poter assicurare una figura in pianta stabile alle scuole, valutata anche l’istituzione dei nuovi CPIA.</w:t>
      </w:r>
      <w:r w:rsidRPr="003819D0">
        <w:rPr>
          <w:rFonts w:ascii="Times New Roman" w:hAnsi="Times New Roman"/>
          <w:sz w:val="24"/>
          <w:szCs w:val="24"/>
          <w:lang w:eastAsia="it-IT"/>
        </w:rPr>
        <w:br/>
        <w:t>Pertanto, la FLC CGIL sta avviando una campagna di ricorsi per dare stabilità a questo profilo e sbloccare la mobilità professionale (ci sono ancora 132 aspiranti idonei che hanno superato l’ultimo concorso).</w:t>
      </w:r>
    </w:p>
    <w:p w:rsidR="003819D0" w:rsidRPr="003819D0" w:rsidRDefault="003819D0" w:rsidP="003819D0">
      <w:pPr>
        <w:spacing w:before="100" w:beforeAutospacing="1" w:after="100" w:afterAutospacing="1" w:line="240" w:lineRule="auto"/>
        <w:outlineLvl w:val="3"/>
        <w:rPr>
          <w:rFonts w:ascii="Times New Roman" w:hAnsi="Times New Roman"/>
          <w:b/>
          <w:bCs/>
          <w:sz w:val="24"/>
          <w:szCs w:val="24"/>
          <w:lang w:eastAsia="it-IT"/>
        </w:rPr>
      </w:pPr>
      <w:r w:rsidRPr="003819D0">
        <w:rPr>
          <w:rFonts w:ascii="Times New Roman" w:hAnsi="Times New Roman"/>
          <w:b/>
          <w:bCs/>
          <w:sz w:val="24"/>
          <w:szCs w:val="24"/>
          <w:lang w:eastAsia="it-IT"/>
        </w:rPr>
        <w:t>Formazione e digitalizzazione</w:t>
      </w:r>
    </w:p>
    <w:p w:rsidR="003819D0" w:rsidRPr="003819D0" w:rsidRDefault="003819D0" w:rsidP="003819D0">
      <w:pPr>
        <w:spacing w:before="100" w:beforeAutospacing="1" w:after="100" w:afterAutospacing="1" w:line="240" w:lineRule="auto"/>
        <w:rPr>
          <w:rFonts w:ascii="Times New Roman" w:hAnsi="Times New Roman"/>
          <w:sz w:val="24"/>
          <w:szCs w:val="24"/>
          <w:lang w:eastAsia="it-IT"/>
        </w:rPr>
      </w:pPr>
      <w:r w:rsidRPr="003819D0">
        <w:rPr>
          <w:rFonts w:ascii="Times New Roman" w:hAnsi="Times New Roman"/>
          <w:sz w:val="24"/>
          <w:szCs w:val="24"/>
          <w:lang w:eastAsia="it-IT"/>
        </w:rPr>
        <w:t>Il DDL scuola prevede un Piano Nazionale Scuola Digitale (</w:t>
      </w:r>
      <w:r w:rsidRPr="003819D0">
        <w:rPr>
          <w:rFonts w:ascii="Times New Roman" w:hAnsi="Times New Roman"/>
          <w:i/>
          <w:iCs/>
          <w:sz w:val="24"/>
          <w:szCs w:val="24"/>
          <w:lang w:eastAsia="it-IT"/>
        </w:rPr>
        <w:t>art. 5</w:t>
      </w:r>
      <w:r w:rsidRPr="003819D0">
        <w:rPr>
          <w:rFonts w:ascii="Times New Roman" w:hAnsi="Times New Roman"/>
          <w:sz w:val="24"/>
          <w:szCs w:val="24"/>
          <w:lang w:eastAsia="it-IT"/>
        </w:rPr>
        <w:t>), per dare strumenti organizzativi, per migliorare la “</w:t>
      </w:r>
      <w:proofErr w:type="spellStart"/>
      <w:r w:rsidRPr="003819D0">
        <w:rPr>
          <w:rFonts w:ascii="Times New Roman" w:hAnsi="Times New Roman"/>
          <w:sz w:val="24"/>
          <w:szCs w:val="24"/>
          <w:lang w:eastAsia="it-IT"/>
        </w:rPr>
        <w:t>governance</w:t>
      </w:r>
      <w:proofErr w:type="spellEnd"/>
      <w:r w:rsidRPr="003819D0">
        <w:rPr>
          <w:rFonts w:ascii="Times New Roman" w:hAnsi="Times New Roman"/>
          <w:sz w:val="24"/>
          <w:szCs w:val="24"/>
          <w:lang w:eastAsia="it-IT"/>
        </w:rPr>
        <w:t>”, la trasparenza, lo scambio e la condivisione dei dati e informazioni, per favorire lo sviluppo della didattica laboratoriale, oltre alla formazione dei direttori amministrativi, degli assistenti amministrativi e tecnici per l’innovazione digitale.</w:t>
      </w:r>
      <w:r w:rsidRPr="003819D0">
        <w:rPr>
          <w:rFonts w:ascii="Times New Roman" w:hAnsi="Times New Roman"/>
          <w:sz w:val="24"/>
          <w:szCs w:val="24"/>
          <w:lang w:eastAsia="it-IT"/>
        </w:rPr>
        <w:br/>
        <w:t>La FLC CGIL ribadisce che, in assenza di un piano di stabilizzazione per gli ATA, il Piano Digitale Scuola è inattuabile, dal momento che esiste una forte carenza di organici causata proprio dai tagli di questi ultimi anni. In aggiunta a questo, per la realizzazione di un efficace ed efficiente Piano Digitale, è essenziale una profonda revisione dell’organizzazione e dei processi, dando gli strumenti adeguati che attuino un concreto interscambio di dati tra i sistemi informativi e le piattaforme utilizzate dall’Amministrazione e dalle scuole, finora mai realizzato a causa di sistemi zoppicanti, che hanno impedito a oggi l’effettiva semplificazione e dematerializzazione dei processi amministrativi.</w:t>
      </w:r>
      <w:r w:rsidRPr="003819D0">
        <w:rPr>
          <w:rFonts w:ascii="Times New Roman" w:hAnsi="Times New Roman"/>
          <w:sz w:val="24"/>
          <w:szCs w:val="24"/>
          <w:lang w:eastAsia="it-IT"/>
        </w:rPr>
        <w:br/>
        <w:t>La FLC CGIL è favorevole a una digitalizzazione dell’intero ciclo, per non aggravare di ulteriori pesi inutili le segreterie e il lavoro amministrativo, per dare alla scuola un’organizzazione più dinamica e flessibile e garantire, nel contempo, un livello dei servizi più adeguato alla collettività. Non dimentichiamo pure che per finanziare il Piano Digitale, 50,7 milioni di euro vengono prelevati dai tagli ATA previsti dalla legge di Stabilità.</w:t>
      </w:r>
      <w:r w:rsidRPr="003819D0">
        <w:rPr>
          <w:rFonts w:ascii="Times New Roman" w:hAnsi="Times New Roman"/>
          <w:sz w:val="24"/>
          <w:szCs w:val="24"/>
          <w:lang w:eastAsia="it-IT"/>
        </w:rPr>
        <w:br/>
        <w:t xml:space="preserve">Per quanto riguarda la formazione del personale ATA, proprio al fine di sviluppare le competenze </w:t>
      </w:r>
      <w:r w:rsidRPr="003819D0">
        <w:rPr>
          <w:rFonts w:ascii="Times New Roman" w:hAnsi="Times New Roman"/>
          <w:sz w:val="24"/>
          <w:szCs w:val="24"/>
          <w:lang w:eastAsia="it-IT"/>
        </w:rPr>
        <w:lastRenderedPageBreak/>
        <w:t>digitali dell’Amministrazione e il supporto necessario alle innovazioni tecnologiche, occorre anche prevedere una formazione specifica in ingresso per i neo-immessi in ruolo ATA.</w:t>
      </w:r>
      <w:r w:rsidRPr="003819D0">
        <w:rPr>
          <w:rFonts w:ascii="Times New Roman" w:hAnsi="Times New Roman"/>
          <w:sz w:val="24"/>
          <w:szCs w:val="24"/>
          <w:lang w:eastAsia="it-IT"/>
        </w:rPr>
        <w:br/>
        <w:t>A nostro parere è altresì indispensabile un aggiornamento continuo, opportunamente programmato e finanziato da parte dell’Amministrazione, che deve poter riguardare l’aderenza del lavoro da svolgere con le attività avviate in ogni specifica organizzazione del lavoro. Nel contempo, è necessario coinvolgere il personale ATA in una formazione anche meno strumentale.</w:t>
      </w:r>
    </w:p>
    <w:p w:rsidR="003819D0" w:rsidRPr="003819D0" w:rsidRDefault="003819D0" w:rsidP="003819D0">
      <w:pPr>
        <w:spacing w:before="100" w:beforeAutospacing="1" w:after="100" w:afterAutospacing="1" w:line="240" w:lineRule="auto"/>
        <w:outlineLvl w:val="3"/>
        <w:rPr>
          <w:rFonts w:ascii="Times New Roman" w:hAnsi="Times New Roman"/>
          <w:b/>
          <w:bCs/>
          <w:sz w:val="24"/>
          <w:szCs w:val="24"/>
          <w:lang w:eastAsia="it-IT"/>
        </w:rPr>
      </w:pPr>
      <w:r w:rsidRPr="003819D0">
        <w:rPr>
          <w:rFonts w:ascii="Times New Roman" w:hAnsi="Times New Roman"/>
          <w:b/>
          <w:bCs/>
          <w:sz w:val="24"/>
          <w:szCs w:val="24"/>
          <w:lang w:eastAsia="it-IT"/>
        </w:rPr>
        <w:t>Valorizzazione e progressione di carriera</w:t>
      </w:r>
    </w:p>
    <w:p w:rsidR="003819D0" w:rsidRPr="003819D0" w:rsidRDefault="003819D0" w:rsidP="003819D0">
      <w:pPr>
        <w:spacing w:before="100" w:beforeAutospacing="1" w:after="100" w:afterAutospacing="1" w:line="240" w:lineRule="auto"/>
        <w:rPr>
          <w:rFonts w:ascii="Times New Roman" w:hAnsi="Times New Roman"/>
          <w:sz w:val="24"/>
          <w:szCs w:val="24"/>
          <w:lang w:eastAsia="it-IT"/>
        </w:rPr>
      </w:pPr>
      <w:r w:rsidRPr="003819D0">
        <w:rPr>
          <w:rFonts w:ascii="Times New Roman" w:hAnsi="Times New Roman"/>
          <w:sz w:val="24"/>
          <w:szCs w:val="24"/>
          <w:lang w:eastAsia="it-IT"/>
        </w:rPr>
        <w:t>Il DDL scuola delega (</w:t>
      </w:r>
      <w:r w:rsidRPr="003819D0">
        <w:rPr>
          <w:rFonts w:ascii="Times New Roman" w:hAnsi="Times New Roman"/>
          <w:i/>
          <w:iCs/>
          <w:sz w:val="24"/>
          <w:szCs w:val="24"/>
          <w:lang w:eastAsia="it-IT"/>
        </w:rPr>
        <w:t>art. 21</w:t>
      </w:r>
      <w:r w:rsidRPr="003819D0">
        <w:rPr>
          <w:rFonts w:ascii="Times New Roman" w:hAnsi="Times New Roman"/>
          <w:sz w:val="24"/>
          <w:szCs w:val="24"/>
          <w:lang w:eastAsia="it-IT"/>
        </w:rPr>
        <w:t xml:space="preserve">) il Governo a legiferare in ordine al Sistema Nazionale di Istruzione e Formazione, in materia anche di valorizzazione del </w:t>
      </w:r>
      <w:proofErr w:type="spellStart"/>
      <w:r w:rsidRPr="003819D0">
        <w:rPr>
          <w:rFonts w:ascii="Times New Roman" w:hAnsi="Times New Roman"/>
          <w:sz w:val="24"/>
          <w:szCs w:val="24"/>
          <w:lang w:eastAsia="it-IT"/>
        </w:rPr>
        <w:t>Dsga</w:t>
      </w:r>
      <w:proofErr w:type="spellEnd"/>
      <w:r w:rsidRPr="003819D0">
        <w:rPr>
          <w:rFonts w:ascii="Times New Roman" w:hAnsi="Times New Roman"/>
          <w:sz w:val="24"/>
          <w:szCs w:val="24"/>
          <w:lang w:eastAsia="it-IT"/>
        </w:rPr>
        <w:t>, quale figura di supporto tecnico-amministrativo a servizio dell’autonomia scolastica, di definizione delle finalità e modalità di gestione dell’identità e del profilo digitale pure del personale tecnico-amministrativo. Si tratta di una delega in bianco inaccettabile poiché queste sono materie contrattuali.</w:t>
      </w:r>
      <w:r w:rsidRPr="003819D0">
        <w:rPr>
          <w:rFonts w:ascii="Times New Roman" w:hAnsi="Times New Roman"/>
          <w:sz w:val="24"/>
          <w:szCs w:val="24"/>
          <w:lang w:eastAsia="it-IT"/>
        </w:rPr>
        <w:br/>
        <w:t>Per la FLC CGIL, qualsiasi intervento su valorizzazione e progressione della carriera per il personale ATA, come per i docenti, deve essere inserito, all’interno di un percorso di rinnovo contrattuale più generale.</w:t>
      </w:r>
      <w:r w:rsidRPr="003819D0">
        <w:rPr>
          <w:rFonts w:ascii="Times New Roman" w:hAnsi="Times New Roman"/>
          <w:sz w:val="24"/>
          <w:szCs w:val="24"/>
          <w:lang w:eastAsia="it-IT"/>
        </w:rPr>
        <w:br/>
        <w:t>È in sede contrattuale che il lavoro ATA, proprio perché incluso nel comune processo di organizzazione della didattica, deve poter mettere a valore l’elevato livello di professionalità complessa e riconoscere giuridicamente ed economicamente il maggiore carico di lavoro, già oggi richiesto a questo personale. Noi vogliamo ricondurre all’interno del contratto funzioni organizzative essenziali, quali posizioni e incarichi specifici, così come la possibilità di far acquisire gradualmente a tutti la qualifica superiore (coordinatore amministrativo e tecnico, collaboratore dei servizi educativi), sistematizzando nel contratto la mobilità professionale.</w:t>
      </w:r>
      <w:r w:rsidRPr="003819D0">
        <w:rPr>
          <w:rFonts w:ascii="Times New Roman" w:hAnsi="Times New Roman"/>
          <w:sz w:val="24"/>
          <w:szCs w:val="24"/>
          <w:lang w:eastAsia="it-IT"/>
        </w:rPr>
        <w:br/>
        <w:t>Questo significa rendere trasparente ed esigibile l’impegno già oggi assunto dal personale ATA.</w:t>
      </w:r>
    </w:p>
    <w:p w:rsidR="003819D0" w:rsidRPr="003819D0" w:rsidRDefault="003819D0" w:rsidP="003819D0">
      <w:pPr>
        <w:spacing w:before="100" w:beforeAutospacing="1" w:after="100" w:afterAutospacing="1" w:line="240" w:lineRule="auto"/>
        <w:outlineLvl w:val="3"/>
        <w:rPr>
          <w:rFonts w:ascii="Times New Roman" w:hAnsi="Times New Roman"/>
          <w:b/>
          <w:bCs/>
          <w:sz w:val="24"/>
          <w:szCs w:val="24"/>
          <w:lang w:eastAsia="it-IT"/>
        </w:rPr>
      </w:pPr>
      <w:r w:rsidRPr="003819D0">
        <w:rPr>
          <w:rFonts w:ascii="Times New Roman" w:hAnsi="Times New Roman"/>
          <w:b/>
          <w:bCs/>
          <w:sz w:val="24"/>
          <w:szCs w:val="24"/>
          <w:lang w:eastAsia="it-IT"/>
        </w:rPr>
        <w:t>Ulteriori proposte FLC CGIL</w:t>
      </w:r>
    </w:p>
    <w:p w:rsidR="003819D0" w:rsidRPr="003819D0" w:rsidRDefault="003819D0" w:rsidP="003819D0">
      <w:pPr>
        <w:spacing w:before="100" w:beforeAutospacing="1" w:after="100" w:afterAutospacing="1" w:line="240" w:lineRule="auto"/>
        <w:rPr>
          <w:rFonts w:ascii="Times New Roman" w:hAnsi="Times New Roman"/>
          <w:sz w:val="24"/>
          <w:szCs w:val="24"/>
          <w:lang w:eastAsia="it-IT"/>
        </w:rPr>
      </w:pPr>
      <w:r w:rsidRPr="003819D0">
        <w:rPr>
          <w:rFonts w:ascii="Times New Roman" w:hAnsi="Times New Roman"/>
          <w:sz w:val="24"/>
          <w:szCs w:val="24"/>
          <w:lang w:eastAsia="it-IT"/>
        </w:rPr>
        <w:t>Alcune delle proposte portate avanti da tempo dalla FLC CGIL, quali:</w:t>
      </w:r>
    </w:p>
    <w:p w:rsidR="003819D0" w:rsidRPr="003819D0" w:rsidRDefault="003819D0" w:rsidP="003819D0">
      <w:pPr>
        <w:numPr>
          <w:ilvl w:val="0"/>
          <w:numId w:val="3"/>
        </w:numPr>
        <w:spacing w:before="100" w:beforeAutospacing="1" w:after="100" w:afterAutospacing="1" w:line="240" w:lineRule="auto"/>
        <w:rPr>
          <w:rFonts w:ascii="Times New Roman" w:hAnsi="Times New Roman"/>
          <w:sz w:val="24"/>
          <w:szCs w:val="24"/>
          <w:lang w:eastAsia="it-IT"/>
        </w:rPr>
      </w:pPr>
      <w:r w:rsidRPr="003819D0">
        <w:rPr>
          <w:rFonts w:ascii="Times New Roman" w:hAnsi="Times New Roman"/>
          <w:sz w:val="24"/>
          <w:szCs w:val="24"/>
          <w:lang w:eastAsia="it-IT"/>
        </w:rPr>
        <w:t xml:space="preserve">eliminare le molestie burocratiche nelle segreterie e nelle competenze delle singole scuole, poiché ci sono funzioni improprie, che aggravano notevolmente il lavoro amministrativo quotidiano. Nel DDL scuola non c’è nulla in proposito. Noi abbiamo proposto 32 azioni per liberare la scuola dalle molestie burocratiche, semplificare il lavoro e dare un valore all’autonomia. Tra queste: il pagamento diretto dei supplenti da parte del </w:t>
      </w:r>
      <w:proofErr w:type="spellStart"/>
      <w:r w:rsidRPr="003819D0">
        <w:rPr>
          <w:rFonts w:ascii="Times New Roman" w:hAnsi="Times New Roman"/>
          <w:sz w:val="24"/>
          <w:szCs w:val="24"/>
          <w:lang w:eastAsia="it-IT"/>
        </w:rPr>
        <w:t>Mef</w:t>
      </w:r>
      <w:proofErr w:type="spellEnd"/>
      <w:r w:rsidRPr="003819D0">
        <w:rPr>
          <w:rFonts w:ascii="Times New Roman" w:hAnsi="Times New Roman"/>
          <w:sz w:val="24"/>
          <w:szCs w:val="24"/>
          <w:lang w:eastAsia="it-IT"/>
        </w:rPr>
        <w:t>; è da molto tempo che chiediamo di spostare presso altri centri territoriali del Ministero i lavori seriali (pratiche di pensione, di ricostruzione di carriera, di compilazione delle graduatorie d’istituto), che non hanno una diretta connessione con l’attuazione del POF; l’internalizzazione dei servizi di pulizia.</w:t>
      </w:r>
    </w:p>
    <w:p w:rsidR="003819D0" w:rsidRPr="003819D0" w:rsidRDefault="003819D0" w:rsidP="003819D0">
      <w:pPr>
        <w:numPr>
          <w:ilvl w:val="0"/>
          <w:numId w:val="3"/>
        </w:numPr>
        <w:spacing w:before="100" w:beforeAutospacing="1" w:after="100" w:afterAutospacing="1" w:line="240" w:lineRule="auto"/>
        <w:rPr>
          <w:rFonts w:ascii="Times New Roman" w:hAnsi="Times New Roman"/>
          <w:sz w:val="24"/>
          <w:szCs w:val="24"/>
          <w:lang w:eastAsia="it-IT"/>
        </w:rPr>
      </w:pPr>
      <w:r w:rsidRPr="003819D0">
        <w:rPr>
          <w:rFonts w:ascii="Times New Roman" w:hAnsi="Times New Roman"/>
          <w:sz w:val="24"/>
          <w:szCs w:val="24"/>
          <w:lang w:eastAsia="it-IT"/>
        </w:rPr>
        <w:t>il 5 per mille a favore delle scuole è frutto di una nostra proposta che, a differenza di quella del Governo, indica di centralizzare il contributo con una ripartizione più equa alle singole scuole. Si rivolge in sostanza a tutti i cittadini (genitori e non) che hanno cura della scuola pubblica e non al singolo genitore che dona solo alla scuola prescelta.</w:t>
      </w:r>
    </w:p>
    <w:p w:rsidR="003819D0" w:rsidRPr="003819D0" w:rsidRDefault="003819D0" w:rsidP="003819D0">
      <w:pPr>
        <w:spacing w:before="100" w:beforeAutospacing="1" w:after="100" w:afterAutospacing="1" w:line="240" w:lineRule="auto"/>
        <w:outlineLvl w:val="3"/>
        <w:rPr>
          <w:rFonts w:ascii="Times New Roman" w:hAnsi="Times New Roman"/>
          <w:b/>
          <w:bCs/>
          <w:sz w:val="24"/>
          <w:szCs w:val="24"/>
          <w:lang w:eastAsia="it-IT"/>
        </w:rPr>
      </w:pPr>
      <w:r w:rsidRPr="003819D0">
        <w:rPr>
          <w:rFonts w:ascii="Times New Roman" w:hAnsi="Times New Roman"/>
          <w:b/>
          <w:bCs/>
          <w:sz w:val="24"/>
          <w:szCs w:val="24"/>
          <w:lang w:eastAsia="it-IT"/>
        </w:rPr>
        <w:t>Posizioni economiche</w:t>
      </w:r>
    </w:p>
    <w:p w:rsidR="003819D0" w:rsidRPr="003819D0" w:rsidRDefault="003819D0" w:rsidP="003819D0">
      <w:pPr>
        <w:spacing w:before="100" w:beforeAutospacing="1" w:after="100" w:afterAutospacing="1" w:line="240" w:lineRule="auto"/>
        <w:rPr>
          <w:rFonts w:ascii="Times New Roman" w:hAnsi="Times New Roman"/>
          <w:sz w:val="24"/>
          <w:szCs w:val="24"/>
          <w:lang w:eastAsia="it-IT"/>
        </w:rPr>
      </w:pPr>
      <w:r w:rsidRPr="003819D0">
        <w:rPr>
          <w:rFonts w:ascii="Times New Roman" w:hAnsi="Times New Roman"/>
          <w:b/>
          <w:bCs/>
          <w:sz w:val="24"/>
          <w:szCs w:val="24"/>
          <w:lang w:eastAsia="it-IT"/>
        </w:rPr>
        <w:t>a) Pagamento posizioni non liquidate</w:t>
      </w:r>
      <w:r w:rsidRPr="003819D0">
        <w:rPr>
          <w:rFonts w:ascii="Times New Roman" w:hAnsi="Times New Roman"/>
          <w:sz w:val="24"/>
          <w:szCs w:val="24"/>
          <w:lang w:eastAsia="it-IT"/>
        </w:rPr>
        <w:br/>
        <w:t xml:space="preserve">Le posizioni finora non liquidate, nonostante l’Accordo del 7 agosto 2014 all’Aran, poiché gli elenchi dei nominativi dei titolari non sono stati inviati dagli Uffici Scolastici Regionali nei flussi telematici col </w:t>
      </w:r>
      <w:proofErr w:type="spellStart"/>
      <w:r w:rsidRPr="003819D0">
        <w:rPr>
          <w:rFonts w:ascii="Times New Roman" w:hAnsi="Times New Roman"/>
          <w:sz w:val="24"/>
          <w:szCs w:val="24"/>
          <w:lang w:eastAsia="it-IT"/>
        </w:rPr>
        <w:t>Mef</w:t>
      </w:r>
      <w:proofErr w:type="spellEnd"/>
      <w:r w:rsidRPr="003819D0">
        <w:rPr>
          <w:rFonts w:ascii="Times New Roman" w:hAnsi="Times New Roman"/>
          <w:sz w:val="24"/>
          <w:szCs w:val="24"/>
          <w:lang w:eastAsia="it-IT"/>
        </w:rPr>
        <w:t xml:space="preserve">, devono essere pagate, dal momento che il personale beneficiario ha svolto le attività negli anni 2011/2012, 2012/2013, 2013/2014 e sta tutt’oggi continuando a sostenere le </w:t>
      </w:r>
      <w:r w:rsidRPr="003819D0">
        <w:rPr>
          <w:rFonts w:ascii="Times New Roman" w:hAnsi="Times New Roman"/>
          <w:sz w:val="24"/>
          <w:szCs w:val="24"/>
          <w:lang w:eastAsia="it-IT"/>
        </w:rPr>
        <w:lastRenderedPageBreak/>
        <w:t>prestazioni inerenti quella funzione.</w:t>
      </w:r>
      <w:r w:rsidRPr="003819D0">
        <w:rPr>
          <w:rFonts w:ascii="Times New Roman" w:hAnsi="Times New Roman"/>
          <w:sz w:val="24"/>
          <w:szCs w:val="24"/>
          <w:lang w:eastAsia="it-IT"/>
        </w:rPr>
        <w:br/>
        <w:t xml:space="preserve">Il </w:t>
      </w:r>
      <w:proofErr w:type="spellStart"/>
      <w:r w:rsidRPr="003819D0">
        <w:rPr>
          <w:rFonts w:ascii="Times New Roman" w:hAnsi="Times New Roman"/>
          <w:sz w:val="24"/>
          <w:szCs w:val="24"/>
          <w:lang w:eastAsia="it-IT"/>
        </w:rPr>
        <w:t>Miur</w:t>
      </w:r>
      <w:proofErr w:type="spellEnd"/>
      <w:r w:rsidRPr="003819D0">
        <w:rPr>
          <w:rFonts w:ascii="Times New Roman" w:hAnsi="Times New Roman"/>
          <w:sz w:val="24"/>
          <w:szCs w:val="24"/>
          <w:lang w:eastAsia="it-IT"/>
        </w:rPr>
        <w:t xml:space="preserve"> deve riavviare i flussi telematici col </w:t>
      </w:r>
      <w:proofErr w:type="spellStart"/>
      <w:r w:rsidRPr="003819D0">
        <w:rPr>
          <w:rFonts w:ascii="Times New Roman" w:hAnsi="Times New Roman"/>
          <w:sz w:val="24"/>
          <w:szCs w:val="24"/>
          <w:lang w:eastAsia="it-IT"/>
        </w:rPr>
        <w:t>Mef</w:t>
      </w:r>
      <w:proofErr w:type="spellEnd"/>
      <w:r w:rsidRPr="003819D0">
        <w:rPr>
          <w:rFonts w:ascii="Times New Roman" w:hAnsi="Times New Roman"/>
          <w:sz w:val="24"/>
          <w:szCs w:val="24"/>
          <w:lang w:eastAsia="it-IT"/>
        </w:rPr>
        <w:t xml:space="preserve"> per liquidare il compenso economico spettante, altrimenti siamo già pronti a partire con i decreti ingiuntivi o altre idonee azioni legali.</w:t>
      </w:r>
    </w:p>
    <w:p w:rsidR="003819D0" w:rsidRPr="003819D0" w:rsidRDefault="003819D0" w:rsidP="003819D0">
      <w:pPr>
        <w:spacing w:before="100" w:beforeAutospacing="1" w:after="100" w:afterAutospacing="1" w:line="240" w:lineRule="auto"/>
        <w:rPr>
          <w:rFonts w:ascii="Times New Roman" w:hAnsi="Times New Roman"/>
          <w:sz w:val="24"/>
          <w:szCs w:val="24"/>
          <w:lang w:eastAsia="it-IT"/>
        </w:rPr>
      </w:pPr>
      <w:r w:rsidRPr="003819D0">
        <w:rPr>
          <w:rFonts w:ascii="Times New Roman" w:hAnsi="Times New Roman"/>
          <w:b/>
          <w:bCs/>
          <w:sz w:val="24"/>
          <w:szCs w:val="24"/>
          <w:lang w:eastAsia="it-IT"/>
        </w:rPr>
        <w:t>b) Ripristino delle posizioni da gennaio 2015</w:t>
      </w:r>
      <w:r w:rsidRPr="003819D0">
        <w:rPr>
          <w:rFonts w:ascii="Times New Roman" w:hAnsi="Times New Roman"/>
          <w:sz w:val="24"/>
          <w:szCs w:val="24"/>
          <w:lang w:eastAsia="it-IT"/>
        </w:rPr>
        <w:br/>
        <w:t>A parere della FLC CGIL le posizioni economiche devono essere ripristinate automaticamente a partire dal 1 gennaio 2015, in quanto la legge di Stabilità 2015 non ha rinnovato il blocco delle retribuzioni individuali. Se questo non avverrà in tempi brevi, apriremo un contenzioso davanti ai giudici, poiché queste posizioni organizzative sono essenziali per il regolare funzionamento delle scuole, per l’attuazione del piano dell’offerta formativa, e di conseguenza vanno retribuite.</w:t>
      </w:r>
    </w:p>
    <w:p w:rsidR="003819D0" w:rsidRPr="003819D0" w:rsidRDefault="003819D0" w:rsidP="003819D0">
      <w:pPr>
        <w:spacing w:before="100" w:beforeAutospacing="1" w:after="100" w:afterAutospacing="1" w:line="240" w:lineRule="auto"/>
        <w:rPr>
          <w:rFonts w:ascii="Times New Roman" w:hAnsi="Times New Roman"/>
          <w:sz w:val="24"/>
          <w:szCs w:val="24"/>
          <w:lang w:eastAsia="it-IT"/>
        </w:rPr>
      </w:pPr>
      <w:r w:rsidRPr="003819D0">
        <w:rPr>
          <w:rFonts w:ascii="Times New Roman" w:hAnsi="Times New Roman"/>
          <w:b/>
          <w:bCs/>
          <w:sz w:val="24"/>
          <w:szCs w:val="24"/>
          <w:lang w:eastAsia="it-IT"/>
        </w:rPr>
        <w:t>c) Riavvio delle procedure di attribuzione di nuove posizioni e formazione</w:t>
      </w:r>
      <w:r w:rsidRPr="003819D0">
        <w:rPr>
          <w:rFonts w:ascii="Times New Roman" w:hAnsi="Times New Roman"/>
          <w:sz w:val="24"/>
          <w:szCs w:val="24"/>
          <w:lang w:eastAsia="it-IT"/>
        </w:rPr>
        <w:br/>
        <w:t>Per la FLC CGIL devono ripartire al più presto le procedure di attribuzione di nuove posizioni economiche per surroga e la formazione, dato che sono stati sospesi gli effetti del blocco da gennaio 2015. Esiste un obbligo contrattuale di formazione per queste persone e ci sono candidati che hanno già superato il concorso, in attesa di essere chiamati a scorrimento dalle graduatorie, sulla base delle surroghe, previste ogni anno, del personale andato in pensione.</w:t>
      </w:r>
    </w:p>
    <w:p w:rsidR="003819D0" w:rsidRPr="003819D0" w:rsidRDefault="003819D0" w:rsidP="003819D0">
      <w:pPr>
        <w:spacing w:before="100" w:beforeAutospacing="1" w:after="100" w:afterAutospacing="1" w:line="240" w:lineRule="auto"/>
        <w:outlineLvl w:val="3"/>
        <w:rPr>
          <w:rFonts w:ascii="Times New Roman" w:hAnsi="Times New Roman"/>
          <w:b/>
          <w:bCs/>
          <w:sz w:val="24"/>
          <w:szCs w:val="24"/>
          <w:lang w:eastAsia="it-IT"/>
        </w:rPr>
      </w:pPr>
      <w:r w:rsidRPr="003819D0">
        <w:rPr>
          <w:rFonts w:ascii="Times New Roman" w:hAnsi="Times New Roman"/>
          <w:b/>
          <w:bCs/>
          <w:sz w:val="24"/>
          <w:szCs w:val="24"/>
          <w:lang w:eastAsia="it-IT"/>
        </w:rPr>
        <w:t>Conclusioni</w:t>
      </w:r>
    </w:p>
    <w:p w:rsidR="003819D0" w:rsidRPr="003819D0" w:rsidRDefault="003819D0" w:rsidP="003819D0">
      <w:pPr>
        <w:spacing w:before="100" w:beforeAutospacing="1" w:after="100" w:afterAutospacing="1" w:line="240" w:lineRule="auto"/>
        <w:rPr>
          <w:rFonts w:ascii="Times New Roman" w:hAnsi="Times New Roman"/>
          <w:sz w:val="24"/>
          <w:szCs w:val="24"/>
          <w:lang w:eastAsia="it-IT"/>
        </w:rPr>
      </w:pPr>
      <w:r w:rsidRPr="003819D0">
        <w:rPr>
          <w:rFonts w:ascii="Times New Roman" w:hAnsi="Times New Roman"/>
          <w:sz w:val="24"/>
          <w:szCs w:val="24"/>
          <w:lang w:eastAsia="it-IT"/>
        </w:rPr>
        <w:t xml:space="preserve">La FLC CGIL sta organizzando la propria azione sindacale nel modo più efficace per contrastare le devastanti politiche che il Governo sta intraprendendo sulla scuola in generale, e sul personale ATA in particolare. Proprio perché riteniamo fondamentale essere sempre in campo, non abbassare la guardia e non lasciare nulla di intentato nell’azione sindacale, legale e politica, assieme alle altre organizzazioni sindacali, abbiamo proclamato la mobilitazione del personale della scuola, con lo sciopero con astensioni dalle attività aggiuntive dal 9 al 18 aprile. Per facilitare meglio la partecipazione abbiamo anche predisposto una </w:t>
      </w:r>
      <w:hyperlink r:id="rId7" w:history="1">
        <w:r w:rsidRPr="003819D0">
          <w:rPr>
            <w:rFonts w:ascii="Times New Roman" w:hAnsi="Times New Roman"/>
            <w:color w:val="0000FF"/>
            <w:sz w:val="24"/>
            <w:szCs w:val="24"/>
            <w:u w:val="single"/>
            <w:lang w:eastAsia="it-IT"/>
          </w:rPr>
          <w:t>scheda</w:t>
        </w:r>
      </w:hyperlink>
      <w:r w:rsidRPr="003819D0">
        <w:rPr>
          <w:rFonts w:ascii="Times New Roman" w:hAnsi="Times New Roman"/>
          <w:sz w:val="24"/>
          <w:szCs w:val="24"/>
          <w:lang w:eastAsia="it-IT"/>
        </w:rPr>
        <w:t xml:space="preserve"> con le indicazioni operative circa le modalità di adesione allo sciopero.</w:t>
      </w:r>
      <w:r w:rsidRPr="003819D0">
        <w:rPr>
          <w:rFonts w:ascii="Times New Roman" w:hAnsi="Times New Roman"/>
          <w:sz w:val="24"/>
          <w:szCs w:val="24"/>
          <w:lang w:eastAsia="it-IT"/>
        </w:rPr>
        <w:br/>
        <w:t xml:space="preserve">Infine, il 28 aprile si vota per il </w:t>
      </w:r>
      <w:hyperlink r:id="rId8" w:history="1">
        <w:r w:rsidRPr="003819D0">
          <w:rPr>
            <w:rFonts w:ascii="Times New Roman" w:hAnsi="Times New Roman"/>
            <w:color w:val="0000FF"/>
            <w:sz w:val="24"/>
            <w:szCs w:val="24"/>
            <w:u w:val="single"/>
            <w:lang w:eastAsia="it-IT"/>
          </w:rPr>
          <w:t>rinnovo</w:t>
        </w:r>
      </w:hyperlink>
      <w:r w:rsidRPr="003819D0">
        <w:rPr>
          <w:rFonts w:ascii="Times New Roman" w:hAnsi="Times New Roman"/>
          <w:sz w:val="24"/>
          <w:szCs w:val="24"/>
          <w:lang w:eastAsia="it-IT"/>
        </w:rPr>
        <w:t xml:space="preserve"> del Consiglio Superiore della Pubblica Istruzione (ex </w:t>
      </w:r>
      <w:proofErr w:type="spellStart"/>
      <w:r w:rsidRPr="003819D0">
        <w:rPr>
          <w:rFonts w:ascii="Times New Roman" w:hAnsi="Times New Roman"/>
          <w:sz w:val="24"/>
          <w:szCs w:val="24"/>
          <w:lang w:eastAsia="it-IT"/>
        </w:rPr>
        <w:t>Cnpi</w:t>
      </w:r>
      <w:proofErr w:type="spellEnd"/>
      <w:r w:rsidRPr="003819D0">
        <w:rPr>
          <w:rFonts w:ascii="Times New Roman" w:hAnsi="Times New Roman"/>
          <w:sz w:val="24"/>
          <w:szCs w:val="24"/>
          <w:lang w:eastAsia="it-IT"/>
        </w:rPr>
        <w:t>), l’organismo di rappresentanza della scuola italiana, che era stato abolito nel 2013.</w:t>
      </w:r>
      <w:r w:rsidRPr="003819D0">
        <w:rPr>
          <w:rFonts w:ascii="Times New Roman" w:hAnsi="Times New Roman"/>
          <w:sz w:val="24"/>
          <w:szCs w:val="24"/>
          <w:lang w:eastAsia="it-IT"/>
        </w:rPr>
        <w:br/>
        <w:t>Queste elezioni sono il risultato di una nostra forte battaglia giuridica, poiché non abbiamo accettato che la scuola rimanesse priva di una sua rappresentanza istituzionale, con diritto di consultazione, dopo che negli ultimi anni sono stati approvati innumerevoli provvedimenti senza il prescritto parere del CSPI.</w:t>
      </w:r>
      <w:r w:rsidRPr="003819D0">
        <w:rPr>
          <w:rFonts w:ascii="Times New Roman" w:hAnsi="Times New Roman"/>
          <w:sz w:val="24"/>
          <w:szCs w:val="24"/>
          <w:lang w:eastAsia="it-IT"/>
        </w:rPr>
        <w:br/>
        <w:t xml:space="preserve">Nelle </w:t>
      </w:r>
      <w:hyperlink r:id="rId9" w:anchor="liste" w:history="1">
        <w:r w:rsidRPr="003819D0">
          <w:rPr>
            <w:rFonts w:ascii="Times New Roman" w:hAnsi="Times New Roman"/>
            <w:color w:val="0000FF"/>
            <w:sz w:val="24"/>
            <w:szCs w:val="24"/>
            <w:u w:val="single"/>
            <w:lang w:eastAsia="it-IT"/>
          </w:rPr>
          <w:t>nostre liste “CGIL-VALORE SCUOLA”</w:t>
        </w:r>
      </w:hyperlink>
      <w:r w:rsidRPr="003819D0">
        <w:rPr>
          <w:rFonts w:ascii="Times New Roman" w:hAnsi="Times New Roman"/>
          <w:sz w:val="24"/>
          <w:szCs w:val="24"/>
          <w:lang w:eastAsia="it-IT"/>
        </w:rPr>
        <w:t xml:space="preserve"> sarà eletto anche un rappresentante ATA che, assieme agli altri, saprà battersi per adeguare gli atti dei governi a una idea di scuola come unica comunità che, accanto alla professionalità docente, sappia includere e valorizzare il lavoro educante delle professionalità ATA.</w:t>
      </w:r>
    </w:p>
    <w:p w:rsidR="009D2EF2" w:rsidRDefault="009D2EF2"/>
    <w:sectPr w:rsidR="009D2EF2">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96544"/>
    <w:multiLevelType w:val="multilevel"/>
    <w:tmpl w:val="3A1EE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182B73"/>
    <w:multiLevelType w:val="multilevel"/>
    <w:tmpl w:val="1DB2BE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5E51D9C"/>
    <w:multiLevelType w:val="multilevel"/>
    <w:tmpl w:val="24762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19D0"/>
    <w:rsid w:val="003819D0"/>
    <w:rsid w:val="007D297F"/>
    <w:rsid w:val="009D2E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16"/>
        <w:szCs w:val="16"/>
        <w:lang w:val="it-IT" w:eastAsia="en-US" w:bidi="ar-SA"/>
      </w:rPr>
    </w:rPrDefault>
    <w:pPrDefault>
      <w:pPr>
        <w:spacing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D297F"/>
  </w:style>
  <w:style w:type="paragraph" w:styleId="Titolo1">
    <w:name w:val="heading 1"/>
    <w:basedOn w:val="Normale"/>
    <w:next w:val="Normale"/>
    <w:link w:val="Titolo1Carattere"/>
    <w:uiPriority w:val="9"/>
    <w:qFormat/>
    <w:rsid w:val="007D297F"/>
    <w:pPr>
      <w:keepNext/>
      <w:keepLines/>
      <w:spacing w:before="480"/>
      <w:outlineLvl w:val="0"/>
    </w:pPr>
    <w:rPr>
      <w:rFonts w:ascii="Cambria" w:hAnsi="Cambria"/>
      <w:b/>
      <w:bCs/>
      <w:color w:val="365F91"/>
      <w:sz w:val="28"/>
      <w:szCs w:val="28"/>
    </w:rPr>
  </w:style>
  <w:style w:type="paragraph" w:styleId="Titolo2">
    <w:name w:val="heading 2"/>
    <w:basedOn w:val="Normale"/>
    <w:next w:val="Normale"/>
    <w:link w:val="Titolo2Carattere"/>
    <w:uiPriority w:val="9"/>
    <w:qFormat/>
    <w:rsid w:val="007D297F"/>
    <w:pPr>
      <w:keepNext/>
      <w:keepLines/>
      <w:spacing w:before="200"/>
      <w:outlineLvl w:val="1"/>
    </w:pPr>
    <w:rPr>
      <w:rFonts w:ascii="Cambria" w:hAnsi="Cambria"/>
      <w:b/>
      <w:bCs/>
      <w:color w:val="4F81BD"/>
      <w:sz w:val="26"/>
      <w:szCs w:val="26"/>
    </w:rPr>
  </w:style>
  <w:style w:type="paragraph" w:styleId="Titolo3">
    <w:name w:val="heading 3"/>
    <w:basedOn w:val="Normale"/>
    <w:next w:val="Normale"/>
    <w:link w:val="Titolo3Carattere"/>
    <w:uiPriority w:val="9"/>
    <w:qFormat/>
    <w:rsid w:val="007D297F"/>
    <w:pPr>
      <w:keepNext/>
      <w:keepLines/>
      <w:spacing w:before="200"/>
      <w:outlineLvl w:val="2"/>
    </w:pPr>
    <w:rPr>
      <w:rFonts w:ascii="Cambria" w:hAnsi="Cambria"/>
      <w:b/>
      <w:bCs/>
      <w:color w:val="4F81BD"/>
    </w:rPr>
  </w:style>
  <w:style w:type="paragraph" w:styleId="Titolo4">
    <w:name w:val="heading 4"/>
    <w:basedOn w:val="Normale"/>
    <w:next w:val="Normale"/>
    <w:link w:val="Titolo4Carattere"/>
    <w:uiPriority w:val="9"/>
    <w:qFormat/>
    <w:rsid w:val="007D297F"/>
    <w:pPr>
      <w:keepNext/>
      <w:keepLines/>
      <w:spacing w:before="200"/>
      <w:outlineLvl w:val="3"/>
    </w:pPr>
    <w:rPr>
      <w:rFonts w:ascii="Cambria" w:hAnsi="Cambria"/>
      <w:b/>
      <w:bCs/>
      <w:i/>
      <w:iCs/>
      <w:color w:val="4F81BD"/>
    </w:rPr>
  </w:style>
  <w:style w:type="paragraph" w:styleId="Titolo5">
    <w:name w:val="heading 5"/>
    <w:basedOn w:val="Normale"/>
    <w:next w:val="Normale"/>
    <w:link w:val="Titolo5Carattere"/>
    <w:uiPriority w:val="9"/>
    <w:qFormat/>
    <w:rsid w:val="007D297F"/>
    <w:pPr>
      <w:keepNext/>
      <w:keepLines/>
      <w:spacing w:before="200"/>
      <w:outlineLvl w:val="4"/>
    </w:pPr>
    <w:rPr>
      <w:rFonts w:ascii="Cambria" w:hAnsi="Cambria"/>
      <w:color w:val="243F60"/>
    </w:rPr>
  </w:style>
  <w:style w:type="paragraph" w:styleId="Titolo6">
    <w:name w:val="heading 6"/>
    <w:basedOn w:val="Normale"/>
    <w:next w:val="Normale"/>
    <w:link w:val="Titolo6Carattere"/>
    <w:uiPriority w:val="9"/>
    <w:qFormat/>
    <w:rsid w:val="007D297F"/>
    <w:pPr>
      <w:keepNext/>
      <w:keepLines/>
      <w:spacing w:before="200"/>
      <w:outlineLvl w:val="5"/>
    </w:pPr>
    <w:rPr>
      <w:rFonts w:ascii="Cambria" w:hAnsi="Cambria"/>
      <w:i/>
      <w:iCs/>
      <w:color w:val="243F60"/>
    </w:rPr>
  </w:style>
  <w:style w:type="paragraph" w:styleId="Titolo7">
    <w:name w:val="heading 7"/>
    <w:basedOn w:val="Normale"/>
    <w:next w:val="Normale"/>
    <w:link w:val="Titolo7Carattere"/>
    <w:uiPriority w:val="9"/>
    <w:qFormat/>
    <w:rsid w:val="007D297F"/>
    <w:pPr>
      <w:keepNext/>
      <w:keepLines/>
      <w:spacing w:before="200"/>
      <w:outlineLvl w:val="6"/>
    </w:pPr>
    <w:rPr>
      <w:rFonts w:ascii="Cambria" w:hAnsi="Cambria"/>
      <w:i/>
      <w:iCs/>
      <w:color w:val="404040"/>
    </w:rPr>
  </w:style>
  <w:style w:type="paragraph" w:styleId="Titolo8">
    <w:name w:val="heading 8"/>
    <w:basedOn w:val="Normale"/>
    <w:next w:val="Normale"/>
    <w:link w:val="Titolo8Carattere"/>
    <w:uiPriority w:val="9"/>
    <w:qFormat/>
    <w:rsid w:val="007D297F"/>
    <w:pPr>
      <w:keepNext/>
      <w:keepLines/>
      <w:spacing w:before="200"/>
      <w:outlineLvl w:val="7"/>
    </w:pPr>
    <w:rPr>
      <w:rFonts w:ascii="Cambria" w:hAnsi="Cambria"/>
      <w:color w:val="4F81BD"/>
      <w:sz w:val="20"/>
      <w:szCs w:val="20"/>
    </w:rPr>
  </w:style>
  <w:style w:type="paragraph" w:styleId="Titolo9">
    <w:name w:val="heading 9"/>
    <w:basedOn w:val="Normale"/>
    <w:next w:val="Normale"/>
    <w:link w:val="Titolo9Carattere"/>
    <w:uiPriority w:val="9"/>
    <w:qFormat/>
    <w:rsid w:val="007D297F"/>
    <w:pPr>
      <w:keepNext/>
      <w:keepLines/>
      <w:spacing w:before="200"/>
      <w:outlineLvl w:val="8"/>
    </w:pPr>
    <w:rPr>
      <w:rFonts w:ascii="Cambria" w:hAnsi="Cambria"/>
      <w:i/>
      <w:iCs/>
      <w:color w:val="404040"/>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D297F"/>
    <w:rPr>
      <w:rFonts w:ascii="Cambria" w:hAnsi="Cambria"/>
      <w:b/>
      <w:bCs/>
      <w:color w:val="365F91"/>
      <w:sz w:val="28"/>
      <w:szCs w:val="28"/>
    </w:rPr>
  </w:style>
  <w:style w:type="character" w:customStyle="1" w:styleId="Titolo2Carattere">
    <w:name w:val="Titolo 2 Carattere"/>
    <w:basedOn w:val="Carpredefinitoparagrafo"/>
    <w:link w:val="Titolo2"/>
    <w:uiPriority w:val="9"/>
    <w:rsid w:val="007D297F"/>
    <w:rPr>
      <w:rFonts w:ascii="Cambria" w:hAnsi="Cambria"/>
      <w:b/>
      <w:bCs/>
      <w:color w:val="4F81BD"/>
      <w:sz w:val="26"/>
      <w:szCs w:val="26"/>
    </w:rPr>
  </w:style>
  <w:style w:type="character" w:customStyle="1" w:styleId="Titolo3Carattere">
    <w:name w:val="Titolo 3 Carattere"/>
    <w:basedOn w:val="Carpredefinitoparagrafo"/>
    <w:link w:val="Titolo3"/>
    <w:uiPriority w:val="9"/>
    <w:rsid w:val="007D297F"/>
    <w:rPr>
      <w:rFonts w:ascii="Cambria" w:hAnsi="Cambria"/>
      <w:b/>
      <w:bCs/>
      <w:color w:val="4F81BD"/>
    </w:rPr>
  </w:style>
  <w:style w:type="character" w:customStyle="1" w:styleId="Titolo4Carattere">
    <w:name w:val="Titolo 4 Carattere"/>
    <w:basedOn w:val="Carpredefinitoparagrafo"/>
    <w:link w:val="Titolo4"/>
    <w:uiPriority w:val="9"/>
    <w:rsid w:val="007D297F"/>
    <w:rPr>
      <w:rFonts w:ascii="Cambria" w:hAnsi="Cambria"/>
      <w:b/>
      <w:bCs/>
      <w:i/>
      <w:iCs/>
      <w:color w:val="4F81BD"/>
    </w:rPr>
  </w:style>
  <w:style w:type="character" w:customStyle="1" w:styleId="Titolo5Carattere">
    <w:name w:val="Titolo 5 Carattere"/>
    <w:basedOn w:val="Carpredefinitoparagrafo"/>
    <w:link w:val="Titolo5"/>
    <w:uiPriority w:val="9"/>
    <w:rsid w:val="007D297F"/>
    <w:rPr>
      <w:rFonts w:ascii="Cambria" w:hAnsi="Cambria"/>
      <w:color w:val="243F60"/>
    </w:rPr>
  </w:style>
  <w:style w:type="character" w:customStyle="1" w:styleId="Titolo6Carattere">
    <w:name w:val="Titolo 6 Carattere"/>
    <w:basedOn w:val="Carpredefinitoparagrafo"/>
    <w:link w:val="Titolo6"/>
    <w:uiPriority w:val="9"/>
    <w:rsid w:val="007D297F"/>
    <w:rPr>
      <w:rFonts w:ascii="Cambria" w:hAnsi="Cambria"/>
      <w:i/>
      <w:iCs/>
      <w:color w:val="243F60"/>
    </w:rPr>
  </w:style>
  <w:style w:type="character" w:customStyle="1" w:styleId="Titolo7Carattere">
    <w:name w:val="Titolo 7 Carattere"/>
    <w:basedOn w:val="Carpredefinitoparagrafo"/>
    <w:link w:val="Titolo7"/>
    <w:uiPriority w:val="9"/>
    <w:rsid w:val="007D297F"/>
    <w:rPr>
      <w:rFonts w:ascii="Cambria" w:hAnsi="Cambria"/>
      <w:i/>
      <w:iCs/>
      <w:color w:val="404040"/>
    </w:rPr>
  </w:style>
  <w:style w:type="character" w:customStyle="1" w:styleId="Titolo8Carattere">
    <w:name w:val="Titolo 8 Carattere"/>
    <w:basedOn w:val="Carpredefinitoparagrafo"/>
    <w:link w:val="Titolo8"/>
    <w:uiPriority w:val="9"/>
    <w:rsid w:val="007D297F"/>
    <w:rPr>
      <w:rFonts w:ascii="Cambria" w:hAnsi="Cambria"/>
      <w:color w:val="4F81BD"/>
      <w:sz w:val="20"/>
      <w:szCs w:val="20"/>
    </w:rPr>
  </w:style>
  <w:style w:type="character" w:customStyle="1" w:styleId="Titolo9Carattere">
    <w:name w:val="Titolo 9 Carattere"/>
    <w:basedOn w:val="Carpredefinitoparagrafo"/>
    <w:link w:val="Titolo9"/>
    <w:uiPriority w:val="9"/>
    <w:rsid w:val="007D297F"/>
    <w:rPr>
      <w:rFonts w:ascii="Cambria" w:hAnsi="Cambria"/>
      <w:i/>
      <w:iCs/>
      <w:color w:val="404040"/>
      <w:sz w:val="20"/>
      <w:szCs w:val="20"/>
    </w:rPr>
  </w:style>
  <w:style w:type="paragraph" w:styleId="Didascalia">
    <w:name w:val="caption"/>
    <w:basedOn w:val="Normale"/>
    <w:next w:val="Normale"/>
    <w:uiPriority w:val="35"/>
    <w:qFormat/>
    <w:rsid w:val="007D297F"/>
    <w:pPr>
      <w:spacing w:line="240" w:lineRule="auto"/>
    </w:pPr>
    <w:rPr>
      <w:b/>
      <w:bCs/>
      <w:color w:val="4F81BD"/>
      <w:sz w:val="18"/>
      <w:szCs w:val="18"/>
    </w:rPr>
  </w:style>
  <w:style w:type="paragraph" w:styleId="Titolo">
    <w:name w:val="Title"/>
    <w:basedOn w:val="Normale"/>
    <w:next w:val="Normale"/>
    <w:link w:val="TitoloCarattere"/>
    <w:uiPriority w:val="10"/>
    <w:qFormat/>
    <w:rsid w:val="007D297F"/>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TitoloCarattere">
    <w:name w:val="Titolo Carattere"/>
    <w:basedOn w:val="Carpredefinitoparagrafo"/>
    <w:link w:val="Titolo"/>
    <w:uiPriority w:val="10"/>
    <w:rsid w:val="007D297F"/>
    <w:rPr>
      <w:rFonts w:ascii="Cambria" w:hAnsi="Cambria"/>
      <w:color w:val="17365D"/>
      <w:spacing w:val="5"/>
      <w:kern w:val="28"/>
      <w:sz w:val="52"/>
      <w:szCs w:val="52"/>
    </w:rPr>
  </w:style>
  <w:style w:type="paragraph" w:styleId="Sottotitolo">
    <w:name w:val="Subtitle"/>
    <w:basedOn w:val="Normale"/>
    <w:next w:val="Normale"/>
    <w:link w:val="SottotitoloCarattere"/>
    <w:uiPriority w:val="11"/>
    <w:qFormat/>
    <w:rsid w:val="007D297F"/>
    <w:pPr>
      <w:numPr>
        <w:ilvl w:val="1"/>
      </w:numPr>
    </w:pPr>
    <w:rPr>
      <w:rFonts w:ascii="Cambria" w:hAnsi="Cambria"/>
      <w:i/>
      <w:iCs/>
      <w:color w:val="4F81BD"/>
      <w:spacing w:val="15"/>
      <w:sz w:val="24"/>
      <w:szCs w:val="24"/>
    </w:rPr>
  </w:style>
  <w:style w:type="character" w:customStyle="1" w:styleId="SottotitoloCarattere">
    <w:name w:val="Sottotitolo Carattere"/>
    <w:basedOn w:val="Carpredefinitoparagrafo"/>
    <w:link w:val="Sottotitolo"/>
    <w:uiPriority w:val="11"/>
    <w:rsid w:val="007D297F"/>
    <w:rPr>
      <w:rFonts w:ascii="Cambria" w:hAnsi="Cambria"/>
      <w:i/>
      <w:iCs/>
      <w:color w:val="4F81BD"/>
      <w:spacing w:val="15"/>
      <w:sz w:val="24"/>
      <w:szCs w:val="24"/>
    </w:rPr>
  </w:style>
  <w:style w:type="character" w:styleId="Enfasigrassetto">
    <w:name w:val="Strong"/>
    <w:basedOn w:val="Carpredefinitoparagrafo"/>
    <w:uiPriority w:val="22"/>
    <w:qFormat/>
    <w:rsid w:val="007D297F"/>
    <w:rPr>
      <w:b/>
      <w:bCs/>
    </w:rPr>
  </w:style>
  <w:style w:type="character" w:styleId="Enfasicorsivo">
    <w:name w:val="Emphasis"/>
    <w:basedOn w:val="Carpredefinitoparagrafo"/>
    <w:uiPriority w:val="20"/>
    <w:qFormat/>
    <w:rsid w:val="007D297F"/>
    <w:rPr>
      <w:i/>
      <w:iCs/>
    </w:rPr>
  </w:style>
  <w:style w:type="paragraph" w:styleId="Nessunaspaziatura">
    <w:name w:val="No Spacing"/>
    <w:link w:val="NessunaspaziaturaCarattere"/>
    <w:uiPriority w:val="1"/>
    <w:qFormat/>
    <w:rsid w:val="007D297F"/>
    <w:rPr>
      <w:sz w:val="22"/>
      <w:szCs w:val="22"/>
      <w:lang w:val="en-US" w:bidi="en-US"/>
    </w:rPr>
  </w:style>
  <w:style w:type="character" w:customStyle="1" w:styleId="NessunaspaziaturaCarattere">
    <w:name w:val="Nessuna spaziatura Carattere"/>
    <w:basedOn w:val="Carpredefinitoparagrafo"/>
    <w:link w:val="Nessunaspaziatura"/>
    <w:uiPriority w:val="1"/>
    <w:rsid w:val="007D297F"/>
    <w:rPr>
      <w:sz w:val="22"/>
      <w:szCs w:val="22"/>
      <w:lang w:val="en-US" w:bidi="en-US"/>
    </w:rPr>
  </w:style>
  <w:style w:type="paragraph" w:styleId="Paragrafoelenco">
    <w:name w:val="List Paragraph"/>
    <w:basedOn w:val="Normale"/>
    <w:uiPriority w:val="34"/>
    <w:qFormat/>
    <w:rsid w:val="007D297F"/>
    <w:pPr>
      <w:ind w:left="720"/>
      <w:contextualSpacing/>
    </w:pPr>
  </w:style>
  <w:style w:type="paragraph" w:styleId="Citazione">
    <w:name w:val="Quote"/>
    <w:basedOn w:val="Normale"/>
    <w:next w:val="Normale"/>
    <w:link w:val="CitazioneCarattere"/>
    <w:uiPriority w:val="29"/>
    <w:qFormat/>
    <w:rsid w:val="007D297F"/>
    <w:rPr>
      <w:i/>
      <w:iCs/>
      <w:color w:val="000000"/>
    </w:rPr>
  </w:style>
  <w:style w:type="character" w:customStyle="1" w:styleId="CitazioneCarattere">
    <w:name w:val="Citazione Carattere"/>
    <w:basedOn w:val="Carpredefinitoparagrafo"/>
    <w:link w:val="Citazione"/>
    <w:uiPriority w:val="29"/>
    <w:rsid w:val="007D297F"/>
    <w:rPr>
      <w:i/>
      <w:iCs/>
      <w:color w:val="000000"/>
    </w:rPr>
  </w:style>
  <w:style w:type="paragraph" w:styleId="Citazioneintensa">
    <w:name w:val="Intense Quote"/>
    <w:basedOn w:val="Normale"/>
    <w:next w:val="Normale"/>
    <w:link w:val="CitazioneintensaCarattere"/>
    <w:uiPriority w:val="30"/>
    <w:qFormat/>
    <w:rsid w:val="007D297F"/>
    <w:pPr>
      <w:pBdr>
        <w:bottom w:val="single" w:sz="4" w:space="4" w:color="4F81BD"/>
      </w:pBdr>
      <w:spacing w:before="200" w:after="280"/>
      <w:ind w:left="936" w:right="936"/>
    </w:pPr>
    <w:rPr>
      <w:b/>
      <w:bCs/>
      <w:i/>
      <w:iCs/>
      <w:color w:val="4F81BD"/>
    </w:rPr>
  </w:style>
  <w:style w:type="character" w:customStyle="1" w:styleId="CitazioneintensaCarattere">
    <w:name w:val="Citazione intensa Carattere"/>
    <w:basedOn w:val="Carpredefinitoparagrafo"/>
    <w:link w:val="Citazioneintensa"/>
    <w:uiPriority w:val="30"/>
    <w:rsid w:val="007D297F"/>
    <w:rPr>
      <w:b/>
      <w:bCs/>
      <w:i/>
      <w:iCs/>
      <w:color w:val="4F81BD"/>
    </w:rPr>
  </w:style>
  <w:style w:type="character" w:styleId="Enfasidelicata">
    <w:name w:val="Subtle Emphasis"/>
    <w:basedOn w:val="Carpredefinitoparagrafo"/>
    <w:uiPriority w:val="19"/>
    <w:qFormat/>
    <w:rsid w:val="007D297F"/>
    <w:rPr>
      <w:i/>
      <w:iCs/>
      <w:color w:val="808080"/>
    </w:rPr>
  </w:style>
  <w:style w:type="character" w:styleId="Enfasiintensa">
    <w:name w:val="Intense Emphasis"/>
    <w:basedOn w:val="Carpredefinitoparagrafo"/>
    <w:uiPriority w:val="21"/>
    <w:qFormat/>
    <w:rsid w:val="007D297F"/>
    <w:rPr>
      <w:b/>
      <w:bCs/>
      <w:i/>
      <w:iCs/>
      <w:color w:val="4F81BD"/>
    </w:rPr>
  </w:style>
  <w:style w:type="character" w:styleId="Riferimentodelicato">
    <w:name w:val="Subtle Reference"/>
    <w:basedOn w:val="Carpredefinitoparagrafo"/>
    <w:uiPriority w:val="31"/>
    <w:qFormat/>
    <w:rsid w:val="007D297F"/>
    <w:rPr>
      <w:smallCaps/>
      <w:color w:val="C0504D"/>
      <w:u w:val="single"/>
    </w:rPr>
  </w:style>
  <w:style w:type="character" w:styleId="Riferimentointenso">
    <w:name w:val="Intense Reference"/>
    <w:basedOn w:val="Carpredefinitoparagrafo"/>
    <w:uiPriority w:val="32"/>
    <w:qFormat/>
    <w:rsid w:val="007D297F"/>
    <w:rPr>
      <w:b/>
      <w:bCs/>
      <w:smallCaps/>
      <w:color w:val="C0504D"/>
      <w:spacing w:val="5"/>
      <w:u w:val="single"/>
    </w:rPr>
  </w:style>
  <w:style w:type="character" w:styleId="Titolodellibro">
    <w:name w:val="Book Title"/>
    <w:basedOn w:val="Carpredefinitoparagrafo"/>
    <w:uiPriority w:val="33"/>
    <w:qFormat/>
    <w:rsid w:val="007D297F"/>
    <w:rPr>
      <w:b/>
      <w:bCs/>
      <w:smallCaps/>
      <w:spacing w:val="5"/>
    </w:rPr>
  </w:style>
  <w:style w:type="paragraph" w:styleId="Titolosommario">
    <w:name w:val="TOC Heading"/>
    <w:basedOn w:val="Titolo1"/>
    <w:next w:val="Normale"/>
    <w:uiPriority w:val="39"/>
    <w:qFormat/>
    <w:rsid w:val="007D297F"/>
    <w:pPr>
      <w:outlineLvl w:val="9"/>
    </w:pPr>
    <w:rPr>
      <w:lang w:val="en-US" w:bidi="en-US"/>
    </w:rPr>
  </w:style>
  <w:style w:type="character" w:customStyle="1" w:styleId="artautore">
    <w:name w:val="artautore"/>
    <w:basedOn w:val="Carpredefinitoparagrafo"/>
    <w:rsid w:val="003819D0"/>
  </w:style>
  <w:style w:type="character" w:styleId="Collegamentoipertestuale">
    <w:name w:val="Hyperlink"/>
    <w:basedOn w:val="Carpredefinitoparagrafo"/>
    <w:uiPriority w:val="99"/>
    <w:semiHidden/>
    <w:unhideWhenUsed/>
    <w:rsid w:val="003819D0"/>
    <w:rPr>
      <w:color w:val="0000FF"/>
      <w:u w:val="single"/>
    </w:rPr>
  </w:style>
  <w:style w:type="paragraph" w:styleId="NormaleWeb">
    <w:name w:val="Normal (Web)"/>
    <w:basedOn w:val="Normale"/>
    <w:uiPriority w:val="99"/>
    <w:semiHidden/>
    <w:unhideWhenUsed/>
    <w:rsid w:val="003819D0"/>
    <w:pPr>
      <w:spacing w:before="100" w:beforeAutospacing="1" w:after="100" w:afterAutospacing="1" w:line="240" w:lineRule="auto"/>
    </w:pPr>
    <w:rPr>
      <w:rFonts w:ascii="Times New Roman" w:hAnsi="Times New Roman"/>
      <w:sz w:val="24"/>
      <w:szCs w:val="24"/>
      <w:lang w:eastAsia="it-IT"/>
    </w:rPr>
  </w:style>
  <w:style w:type="paragraph" w:styleId="Testofumetto">
    <w:name w:val="Balloon Text"/>
    <w:basedOn w:val="Normale"/>
    <w:link w:val="TestofumettoCarattere"/>
    <w:uiPriority w:val="99"/>
    <w:semiHidden/>
    <w:unhideWhenUsed/>
    <w:rsid w:val="003819D0"/>
    <w:pPr>
      <w:spacing w:line="240" w:lineRule="auto"/>
    </w:pPr>
    <w:rPr>
      <w:rFonts w:ascii="Tahoma" w:hAnsi="Tahoma" w:cs="Tahoma"/>
    </w:rPr>
  </w:style>
  <w:style w:type="character" w:customStyle="1" w:styleId="TestofumettoCarattere">
    <w:name w:val="Testo fumetto Carattere"/>
    <w:basedOn w:val="Carpredefinitoparagrafo"/>
    <w:link w:val="Testofumetto"/>
    <w:uiPriority w:val="99"/>
    <w:semiHidden/>
    <w:rsid w:val="003819D0"/>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16"/>
        <w:szCs w:val="16"/>
        <w:lang w:val="it-IT" w:eastAsia="en-US" w:bidi="ar-SA"/>
      </w:rPr>
    </w:rPrDefault>
    <w:pPrDefault>
      <w:pPr>
        <w:spacing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D297F"/>
  </w:style>
  <w:style w:type="paragraph" w:styleId="Titolo1">
    <w:name w:val="heading 1"/>
    <w:basedOn w:val="Normale"/>
    <w:next w:val="Normale"/>
    <w:link w:val="Titolo1Carattere"/>
    <w:uiPriority w:val="9"/>
    <w:qFormat/>
    <w:rsid w:val="007D297F"/>
    <w:pPr>
      <w:keepNext/>
      <w:keepLines/>
      <w:spacing w:before="480"/>
      <w:outlineLvl w:val="0"/>
    </w:pPr>
    <w:rPr>
      <w:rFonts w:ascii="Cambria" w:hAnsi="Cambria"/>
      <w:b/>
      <w:bCs/>
      <w:color w:val="365F91"/>
      <w:sz w:val="28"/>
      <w:szCs w:val="28"/>
    </w:rPr>
  </w:style>
  <w:style w:type="paragraph" w:styleId="Titolo2">
    <w:name w:val="heading 2"/>
    <w:basedOn w:val="Normale"/>
    <w:next w:val="Normale"/>
    <w:link w:val="Titolo2Carattere"/>
    <w:uiPriority w:val="9"/>
    <w:qFormat/>
    <w:rsid w:val="007D297F"/>
    <w:pPr>
      <w:keepNext/>
      <w:keepLines/>
      <w:spacing w:before="200"/>
      <w:outlineLvl w:val="1"/>
    </w:pPr>
    <w:rPr>
      <w:rFonts w:ascii="Cambria" w:hAnsi="Cambria"/>
      <w:b/>
      <w:bCs/>
      <w:color w:val="4F81BD"/>
      <w:sz w:val="26"/>
      <w:szCs w:val="26"/>
    </w:rPr>
  </w:style>
  <w:style w:type="paragraph" w:styleId="Titolo3">
    <w:name w:val="heading 3"/>
    <w:basedOn w:val="Normale"/>
    <w:next w:val="Normale"/>
    <w:link w:val="Titolo3Carattere"/>
    <w:uiPriority w:val="9"/>
    <w:qFormat/>
    <w:rsid w:val="007D297F"/>
    <w:pPr>
      <w:keepNext/>
      <w:keepLines/>
      <w:spacing w:before="200"/>
      <w:outlineLvl w:val="2"/>
    </w:pPr>
    <w:rPr>
      <w:rFonts w:ascii="Cambria" w:hAnsi="Cambria"/>
      <w:b/>
      <w:bCs/>
      <w:color w:val="4F81BD"/>
    </w:rPr>
  </w:style>
  <w:style w:type="paragraph" w:styleId="Titolo4">
    <w:name w:val="heading 4"/>
    <w:basedOn w:val="Normale"/>
    <w:next w:val="Normale"/>
    <w:link w:val="Titolo4Carattere"/>
    <w:uiPriority w:val="9"/>
    <w:qFormat/>
    <w:rsid w:val="007D297F"/>
    <w:pPr>
      <w:keepNext/>
      <w:keepLines/>
      <w:spacing w:before="200"/>
      <w:outlineLvl w:val="3"/>
    </w:pPr>
    <w:rPr>
      <w:rFonts w:ascii="Cambria" w:hAnsi="Cambria"/>
      <w:b/>
      <w:bCs/>
      <w:i/>
      <w:iCs/>
      <w:color w:val="4F81BD"/>
    </w:rPr>
  </w:style>
  <w:style w:type="paragraph" w:styleId="Titolo5">
    <w:name w:val="heading 5"/>
    <w:basedOn w:val="Normale"/>
    <w:next w:val="Normale"/>
    <w:link w:val="Titolo5Carattere"/>
    <w:uiPriority w:val="9"/>
    <w:qFormat/>
    <w:rsid w:val="007D297F"/>
    <w:pPr>
      <w:keepNext/>
      <w:keepLines/>
      <w:spacing w:before="200"/>
      <w:outlineLvl w:val="4"/>
    </w:pPr>
    <w:rPr>
      <w:rFonts w:ascii="Cambria" w:hAnsi="Cambria"/>
      <w:color w:val="243F60"/>
    </w:rPr>
  </w:style>
  <w:style w:type="paragraph" w:styleId="Titolo6">
    <w:name w:val="heading 6"/>
    <w:basedOn w:val="Normale"/>
    <w:next w:val="Normale"/>
    <w:link w:val="Titolo6Carattere"/>
    <w:uiPriority w:val="9"/>
    <w:qFormat/>
    <w:rsid w:val="007D297F"/>
    <w:pPr>
      <w:keepNext/>
      <w:keepLines/>
      <w:spacing w:before="200"/>
      <w:outlineLvl w:val="5"/>
    </w:pPr>
    <w:rPr>
      <w:rFonts w:ascii="Cambria" w:hAnsi="Cambria"/>
      <w:i/>
      <w:iCs/>
      <w:color w:val="243F60"/>
    </w:rPr>
  </w:style>
  <w:style w:type="paragraph" w:styleId="Titolo7">
    <w:name w:val="heading 7"/>
    <w:basedOn w:val="Normale"/>
    <w:next w:val="Normale"/>
    <w:link w:val="Titolo7Carattere"/>
    <w:uiPriority w:val="9"/>
    <w:qFormat/>
    <w:rsid w:val="007D297F"/>
    <w:pPr>
      <w:keepNext/>
      <w:keepLines/>
      <w:spacing w:before="200"/>
      <w:outlineLvl w:val="6"/>
    </w:pPr>
    <w:rPr>
      <w:rFonts w:ascii="Cambria" w:hAnsi="Cambria"/>
      <w:i/>
      <w:iCs/>
      <w:color w:val="404040"/>
    </w:rPr>
  </w:style>
  <w:style w:type="paragraph" w:styleId="Titolo8">
    <w:name w:val="heading 8"/>
    <w:basedOn w:val="Normale"/>
    <w:next w:val="Normale"/>
    <w:link w:val="Titolo8Carattere"/>
    <w:uiPriority w:val="9"/>
    <w:qFormat/>
    <w:rsid w:val="007D297F"/>
    <w:pPr>
      <w:keepNext/>
      <w:keepLines/>
      <w:spacing w:before="200"/>
      <w:outlineLvl w:val="7"/>
    </w:pPr>
    <w:rPr>
      <w:rFonts w:ascii="Cambria" w:hAnsi="Cambria"/>
      <w:color w:val="4F81BD"/>
      <w:sz w:val="20"/>
      <w:szCs w:val="20"/>
    </w:rPr>
  </w:style>
  <w:style w:type="paragraph" w:styleId="Titolo9">
    <w:name w:val="heading 9"/>
    <w:basedOn w:val="Normale"/>
    <w:next w:val="Normale"/>
    <w:link w:val="Titolo9Carattere"/>
    <w:uiPriority w:val="9"/>
    <w:qFormat/>
    <w:rsid w:val="007D297F"/>
    <w:pPr>
      <w:keepNext/>
      <w:keepLines/>
      <w:spacing w:before="200"/>
      <w:outlineLvl w:val="8"/>
    </w:pPr>
    <w:rPr>
      <w:rFonts w:ascii="Cambria" w:hAnsi="Cambria"/>
      <w:i/>
      <w:iCs/>
      <w:color w:val="404040"/>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D297F"/>
    <w:rPr>
      <w:rFonts w:ascii="Cambria" w:hAnsi="Cambria"/>
      <w:b/>
      <w:bCs/>
      <w:color w:val="365F91"/>
      <w:sz w:val="28"/>
      <w:szCs w:val="28"/>
    </w:rPr>
  </w:style>
  <w:style w:type="character" w:customStyle="1" w:styleId="Titolo2Carattere">
    <w:name w:val="Titolo 2 Carattere"/>
    <w:basedOn w:val="Carpredefinitoparagrafo"/>
    <w:link w:val="Titolo2"/>
    <w:uiPriority w:val="9"/>
    <w:rsid w:val="007D297F"/>
    <w:rPr>
      <w:rFonts w:ascii="Cambria" w:hAnsi="Cambria"/>
      <w:b/>
      <w:bCs/>
      <w:color w:val="4F81BD"/>
      <w:sz w:val="26"/>
      <w:szCs w:val="26"/>
    </w:rPr>
  </w:style>
  <w:style w:type="character" w:customStyle="1" w:styleId="Titolo3Carattere">
    <w:name w:val="Titolo 3 Carattere"/>
    <w:basedOn w:val="Carpredefinitoparagrafo"/>
    <w:link w:val="Titolo3"/>
    <w:uiPriority w:val="9"/>
    <w:rsid w:val="007D297F"/>
    <w:rPr>
      <w:rFonts w:ascii="Cambria" w:hAnsi="Cambria"/>
      <w:b/>
      <w:bCs/>
      <w:color w:val="4F81BD"/>
    </w:rPr>
  </w:style>
  <w:style w:type="character" w:customStyle="1" w:styleId="Titolo4Carattere">
    <w:name w:val="Titolo 4 Carattere"/>
    <w:basedOn w:val="Carpredefinitoparagrafo"/>
    <w:link w:val="Titolo4"/>
    <w:uiPriority w:val="9"/>
    <w:rsid w:val="007D297F"/>
    <w:rPr>
      <w:rFonts w:ascii="Cambria" w:hAnsi="Cambria"/>
      <w:b/>
      <w:bCs/>
      <w:i/>
      <w:iCs/>
      <w:color w:val="4F81BD"/>
    </w:rPr>
  </w:style>
  <w:style w:type="character" w:customStyle="1" w:styleId="Titolo5Carattere">
    <w:name w:val="Titolo 5 Carattere"/>
    <w:basedOn w:val="Carpredefinitoparagrafo"/>
    <w:link w:val="Titolo5"/>
    <w:uiPriority w:val="9"/>
    <w:rsid w:val="007D297F"/>
    <w:rPr>
      <w:rFonts w:ascii="Cambria" w:hAnsi="Cambria"/>
      <w:color w:val="243F60"/>
    </w:rPr>
  </w:style>
  <w:style w:type="character" w:customStyle="1" w:styleId="Titolo6Carattere">
    <w:name w:val="Titolo 6 Carattere"/>
    <w:basedOn w:val="Carpredefinitoparagrafo"/>
    <w:link w:val="Titolo6"/>
    <w:uiPriority w:val="9"/>
    <w:rsid w:val="007D297F"/>
    <w:rPr>
      <w:rFonts w:ascii="Cambria" w:hAnsi="Cambria"/>
      <w:i/>
      <w:iCs/>
      <w:color w:val="243F60"/>
    </w:rPr>
  </w:style>
  <w:style w:type="character" w:customStyle="1" w:styleId="Titolo7Carattere">
    <w:name w:val="Titolo 7 Carattere"/>
    <w:basedOn w:val="Carpredefinitoparagrafo"/>
    <w:link w:val="Titolo7"/>
    <w:uiPriority w:val="9"/>
    <w:rsid w:val="007D297F"/>
    <w:rPr>
      <w:rFonts w:ascii="Cambria" w:hAnsi="Cambria"/>
      <w:i/>
      <w:iCs/>
      <w:color w:val="404040"/>
    </w:rPr>
  </w:style>
  <w:style w:type="character" w:customStyle="1" w:styleId="Titolo8Carattere">
    <w:name w:val="Titolo 8 Carattere"/>
    <w:basedOn w:val="Carpredefinitoparagrafo"/>
    <w:link w:val="Titolo8"/>
    <w:uiPriority w:val="9"/>
    <w:rsid w:val="007D297F"/>
    <w:rPr>
      <w:rFonts w:ascii="Cambria" w:hAnsi="Cambria"/>
      <w:color w:val="4F81BD"/>
      <w:sz w:val="20"/>
      <w:szCs w:val="20"/>
    </w:rPr>
  </w:style>
  <w:style w:type="character" w:customStyle="1" w:styleId="Titolo9Carattere">
    <w:name w:val="Titolo 9 Carattere"/>
    <w:basedOn w:val="Carpredefinitoparagrafo"/>
    <w:link w:val="Titolo9"/>
    <w:uiPriority w:val="9"/>
    <w:rsid w:val="007D297F"/>
    <w:rPr>
      <w:rFonts w:ascii="Cambria" w:hAnsi="Cambria"/>
      <w:i/>
      <w:iCs/>
      <w:color w:val="404040"/>
      <w:sz w:val="20"/>
      <w:szCs w:val="20"/>
    </w:rPr>
  </w:style>
  <w:style w:type="paragraph" w:styleId="Didascalia">
    <w:name w:val="caption"/>
    <w:basedOn w:val="Normale"/>
    <w:next w:val="Normale"/>
    <w:uiPriority w:val="35"/>
    <w:qFormat/>
    <w:rsid w:val="007D297F"/>
    <w:pPr>
      <w:spacing w:line="240" w:lineRule="auto"/>
    </w:pPr>
    <w:rPr>
      <w:b/>
      <w:bCs/>
      <w:color w:val="4F81BD"/>
      <w:sz w:val="18"/>
      <w:szCs w:val="18"/>
    </w:rPr>
  </w:style>
  <w:style w:type="paragraph" w:styleId="Titolo">
    <w:name w:val="Title"/>
    <w:basedOn w:val="Normale"/>
    <w:next w:val="Normale"/>
    <w:link w:val="TitoloCarattere"/>
    <w:uiPriority w:val="10"/>
    <w:qFormat/>
    <w:rsid w:val="007D297F"/>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TitoloCarattere">
    <w:name w:val="Titolo Carattere"/>
    <w:basedOn w:val="Carpredefinitoparagrafo"/>
    <w:link w:val="Titolo"/>
    <w:uiPriority w:val="10"/>
    <w:rsid w:val="007D297F"/>
    <w:rPr>
      <w:rFonts w:ascii="Cambria" w:hAnsi="Cambria"/>
      <w:color w:val="17365D"/>
      <w:spacing w:val="5"/>
      <w:kern w:val="28"/>
      <w:sz w:val="52"/>
      <w:szCs w:val="52"/>
    </w:rPr>
  </w:style>
  <w:style w:type="paragraph" w:styleId="Sottotitolo">
    <w:name w:val="Subtitle"/>
    <w:basedOn w:val="Normale"/>
    <w:next w:val="Normale"/>
    <w:link w:val="SottotitoloCarattere"/>
    <w:uiPriority w:val="11"/>
    <w:qFormat/>
    <w:rsid w:val="007D297F"/>
    <w:pPr>
      <w:numPr>
        <w:ilvl w:val="1"/>
      </w:numPr>
    </w:pPr>
    <w:rPr>
      <w:rFonts w:ascii="Cambria" w:hAnsi="Cambria"/>
      <w:i/>
      <w:iCs/>
      <w:color w:val="4F81BD"/>
      <w:spacing w:val="15"/>
      <w:sz w:val="24"/>
      <w:szCs w:val="24"/>
    </w:rPr>
  </w:style>
  <w:style w:type="character" w:customStyle="1" w:styleId="SottotitoloCarattere">
    <w:name w:val="Sottotitolo Carattere"/>
    <w:basedOn w:val="Carpredefinitoparagrafo"/>
    <w:link w:val="Sottotitolo"/>
    <w:uiPriority w:val="11"/>
    <w:rsid w:val="007D297F"/>
    <w:rPr>
      <w:rFonts w:ascii="Cambria" w:hAnsi="Cambria"/>
      <w:i/>
      <w:iCs/>
      <w:color w:val="4F81BD"/>
      <w:spacing w:val="15"/>
      <w:sz w:val="24"/>
      <w:szCs w:val="24"/>
    </w:rPr>
  </w:style>
  <w:style w:type="character" w:styleId="Enfasigrassetto">
    <w:name w:val="Strong"/>
    <w:basedOn w:val="Carpredefinitoparagrafo"/>
    <w:uiPriority w:val="22"/>
    <w:qFormat/>
    <w:rsid w:val="007D297F"/>
    <w:rPr>
      <w:b/>
      <w:bCs/>
    </w:rPr>
  </w:style>
  <w:style w:type="character" w:styleId="Enfasicorsivo">
    <w:name w:val="Emphasis"/>
    <w:basedOn w:val="Carpredefinitoparagrafo"/>
    <w:uiPriority w:val="20"/>
    <w:qFormat/>
    <w:rsid w:val="007D297F"/>
    <w:rPr>
      <w:i/>
      <w:iCs/>
    </w:rPr>
  </w:style>
  <w:style w:type="paragraph" w:styleId="Nessunaspaziatura">
    <w:name w:val="No Spacing"/>
    <w:link w:val="NessunaspaziaturaCarattere"/>
    <w:uiPriority w:val="1"/>
    <w:qFormat/>
    <w:rsid w:val="007D297F"/>
    <w:rPr>
      <w:sz w:val="22"/>
      <w:szCs w:val="22"/>
      <w:lang w:val="en-US" w:bidi="en-US"/>
    </w:rPr>
  </w:style>
  <w:style w:type="character" w:customStyle="1" w:styleId="NessunaspaziaturaCarattere">
    <w:name w:val="Nessuna spaziatura Carattere"/>
    <w:basedOn w:val="Carpredefinitoparagrafo"/>
    <w:link w:val="Nessunaspaziatura"/>
    <w:uiPriority w:val="1"/>
    <w:rsid w:val="007D297F"/>
    <w:rPr>
      <w:sz w:val="22"/>
      <w:szCs w:val="22"/>
      <w:lang w:val="en-US" w:bidi="en-US"/>
    </w:rPr>
  </w:style>
  <w:style w:type="paragraph" w:styleId="Paragrafoelenco">
    <w:name w:val="List Paragraph"/>
    <w:basedOn w:val="Normale"/>
    <w:uiPriority w:val="34"/>
    <w:qFormat/>
    <w:rsid w:val="007D297F"/>
    <w:pPr>
      <w:ind w:left="720"/>
      <w:contextualSpacing/>
    </w:pPr>
  </w:style>
  <w:style w:type="paragraph" w:styleId="Citazione">
    <w:name w:val="Quote"/>
    <w:basedOn w:val="Normale"/>
    <w:next w:val="Normale"/>
    <w:link w:val="CitazioneCarattere"/>
    <w:uiPriority w:val="29"/>
    <w:qFormat/>
    <w:rsid w:val="007D297F"/>
    <w:rPr>
      <w:i/>
      <w:iCs/>
      <w:color w:val="000000"/>
    </w:rPr>
  </w:style>
  <w:style w:type="character" w:customStyle="1" w:styleId="CitazioneCarattere">
    <w:name w:val="Citazione Carattere"/>
    <w:basedOn w:val="Carpredefinitoparagrafo"/>
    <w:link w:val="Citazione"/>
    <w:uiPriority w:val="29"/>
    <w:rsid w:val="007D297F"/>
    <w:rPr>
      <w:i/>
      <w:iCs/>
      <w:color w:val="000000"/>
    </w:rPr>
  </w:style>
  <w:style w:type="paragraph" w:styleId="Citazioneintensa">
    <w:name w:val="Intense Quote"/>
    <w:basedOn w:val="Normale"/>
    <w:next w:val="Normale"/>
    <w:link w:val="CitazioneintensaCarattere"/>
    <w:uiPriority w:val="30"/>
    <w:qFormat/>
    <w:rsid w:val="007D297F"/>
    <w:pPr>
      <w:pBdr>
        <w:bottom w:val="single" w:sz="4" w:space="4" w:color="4F81BD"/>
      </w:pBdr>
      <w:spacing w:before="200" w:after="280"/>
      <w:ind w:left="936" w:right="936"/>
    </w:pPr>
    <w:rPr>
      <w:b/>
      <w:bCs/>
      <w:i/>
      <w:iCs/>
      <w:color w:val="4F81BD"/>
    </w:rPr>
  </w:style>
  <w:style w:type="character" w:customStyle="1" w:styleId="CitazioneintensaCarattere">
    <w:name w:val="Citazione intensa Carattere"/>
    <w:basedOn w:val="Carpredefinitoparagrafo"/>
    <w:link w:val="Citazioneintensa"/>
    <w:uiPriority w:val="30"/>
    <w:rsid w:val="007D297F"/>
    <w:rPr>
      <w:b/>
      <w:bCs/>
      <w:i/>
      <w:iCs/>
      <w:color w:val="4F81BD"/>
    </w:rPr>
  </w:style>
  <w:style w:type="character" w:styleId="Enfasidelicata">
    <w:name w:val="Subtle Emphasis"/>
    <w:basedOn w:val="Carpredefinitoparagrafo"/>
    <w:uiPriority w:val="19"/>
    <w:qFormat/>
    <w:rsid w:val="007D297F"/>
    <w:rPr>
      <w:i/>
      <w:iCs/>
      <w:color w:val="808080"/>
    </w:rPr>
  </w:style>
  <w:style w:type="character" w:styleId="Enfasiintensa">
    <w:name w:val="Intense Emphasis"/>
    <w:basedOn w:val="Carpredefinitoparagrafo"/>
    <w:uiPriority w:val="21"/>
    <w:qFormat/>
    <w:rsid w:val="007D297F"/>
    <w:rPr>
      <w:b/>
      <w:bCs/>
      <w:i/>
      <w:iCs/>
      <w:color w:val="4F81BD"/>
    </w:rPr>
  </w:style>
  <w:style w:type="character" w:styleId="Riferimentodelicato">
    <w:name w:val="Subtle Reference"/>
    <w:basedOn w:val="Carpredefinitoparagrafo"/>
    <w:uiPriority w:val="31"/>
    <w:qFormat/>
    <w:rsid w:val="007D297F"/>
    <w:rPr>
      <w:smallCaps/>
      <w:color w:val="C0504D"/>
      <w:u w:val="single"/>
    </w:rPr>
  </w:style>
  <w:style w:type="character" w:styleId="Riferimentointenso">
    <w:name w:val="Intense Reference"/>
    <w:basedOn w:val="Carpredefinitoparagrafo"/>
    <w:uiPriority w:val="32"/>
    <w:qFormat/>
    <w:rsid w:val="007D297F"/>
    <w:rPr>
      <w:b/>
      <w:bCs/>
      <w:smallCaps/>
      <w:color w:val="C0504D"/>
      <w:spacing w:val="5"/>
      <w:u w:val="single"/>
    </w:rPr>
  </w:style>
  <w:style w:type="character" w:styleId="Titolodellibro">
    <w:name w:val="Book Title"/>
    <w:basedOn w:val="Carpredefinitoparagrafo"/>
    <w:uiPriority w:val="33"/>
    <w:qFormat/>
    <w:rsid w:val="007D297F"/>
    <w:rPr>
      <w:b/>
      <w:bCs/>
      <w:smallCaps/>
      <w:spacing w:val="5"/>
    </w:rPr>
  </w:style>
  <w:style w:type="paragraph" w:styleId="Titolosommario">
    <w:name w:val="TOC Heading"/>
    <w:basedOn w:val="Titolo1"/>
    <w:next w:val="Normale"/>
    <w:uiPriority w:val="39"/>
    <w:qFormat/>
    <w:rsid w:val="007D297F"/>
    <w:pPr>
      <w:outlineLvl w:val="9"/>
    </w:pPr>
    <w:rPr>
      <w:lang w:val="en-US" w:bidi="en-US"/>
    </w:rPr>
  </w:style>
  <w:style w:type="character" w:customStyle="1" w:styleId="artautore">
    <w:name w:val="artautore"/>
    <w:basedOn w:val="Carpredefinitoparagrafo"/>
    <w:rsid w:val="003819D0"/>
  </w:style>
  <w:style w:type="character" w:styleId="Collegamentoipertestuale">
    <w:name w:val="Hyperlink"/>
    <w:basedOn w:val="Carpredefinitoparagrafo"/>
    <w:uiPriority w:val="99"/>
    <w:semiHidden/>
    <w:unhideWhenUsed/>
    <w:rsid w:val="003819D0"/>
    <w:rPr>
      <w:color w:val="0000FF"/>
      <w:u w:val="single"/>
    </w:rPr>
  </w:style>
  <w:style w:type="paragraph" w:styleId="NormaleWeb">
    <w:name w:val="Normal (Web)"/>
    <w:basedOn w:val="Normale"/>
    <w:uiPriority w:val="99"/>
    <w:semiHidden/>
    <w:unhideWhenUsed/>
    <w:rsid w:val="003819D0"/>
    <w:pPr>
      <w:spacing w:before="100" w:beforeAutospacing="1" w:after="100" w:afterAutospacing="1" w:line="240" w:lineRule="auto"/>
    </w:pPr>
    <w:rPr>
      <w:rFonts w:ascii="Times New Roman" w:hAnsi="Times New Roman"/>
      <w:sz w:val="24"/>
      <w:szCs w:val="24"/>
      <w:lang w:eastAsia="it-IT"/>
    </w:rPr>
  </w:style>
  <w:style w:type="paragraph" w:styleId="Testofumetto">
    <w:name w:val="Balloon Text"/>
    <w:basedOn w:val="Normale"/>
    <w:link w:val="TestofumettoCarattere"/>
    <w:uiPriority w:val="99"/>
    <w:semiHidden/>
    <w:unhideWhenUsed/>
    <w:rsid w:val="003819D0"/>
    <w:pPr>
      <w:spacing w:line="240" w:lineRule="auto"/>
    </w:pPr>
    <w:rPr>
      <w:rFonts w:ascii="Tahoma" w:hAnsi="Tahoma" w:cs="Tahoma"/>
    </w:rPr>
  </w:style>
  <w:style w:type="character" w:customStyle="1" w:styleId="TestofumettoCarattere">
    <w:name w:val="Testo fumetto Carattere"/>
    <w:basedOn w:val="Carpredefinitoparagrafo"/>
    <w:link w:val="Testofumetto"/>
    <w:uiPriority w:val="99"/>
    <w:semiHidden/>
    <w:rsid w:val="003819D0"/>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4472746">
      <w:bodyDiv w:val="1"/>
      <w:marLeft w:val="0"/>
      <w:marRight w:val="0"/>
      <w:marTop w:val="0"/>
      <w:marBottom w:val="0"/>
      <w:divBdr>
        <w:top w:val="none" w:sz="0" w:space="0" w:color="auto"/>
        <w:left w:val="none" w:sz="0" w:space="0" w:color="auto"/>
        <w:bottom w:val="none" w:sz="0" w:space="0" w:color="auto"/>
        <w:right w:val="none" w:sz="0" w:space="0" w:color="auto"/>
      </w:divBdr>
      <w:divsChild>
        <w:div w:id="2026982940">
          <w:marLeft w:val="0"/>
          <w:marRight w:val="0"/>
          <w:marTop w:val="0"/>
          <w:marBottom w:val="0"/>
          <w:divBdr>
            <w:top w:val="none" w:sz="0" w:space="0" w:color="auto"/>
            <w:left w:val="none" w:sz="0" w:space="0" w:color="auto"/>
            <w:bottom w:val="none" w:sz="0" w:space="0" w:color="auto"/>
            <w:right w:val="none" w:sz="0" w:space="0" w:color="auto"/>
          </w:divBdr>
          <w:divsChild>
            <w:div w:id="286201821">
              <w:marLeft w:val="0"/>
              <w:marRight w:val="0"/>
              <w:marTop w:val="0"/>
              <w:marBottom w:val="0"/>
              <w:divBdr>
                <w:top w:val="none" w:sz="0" w:space="0" w:color="auto"/>
                <w:left w:val="none" w:sz="0" w:space="0" w:color="auto"/>
                <w:bottom w:val="none" w:sz="0" w:space="0" w:color="auto"/>
                <w:right w:val="none" w:sz="0" w:space="0" w:color="auto"/>
              </w:divBdr>
              <w:divsChild>
                <w:div w:id="2041738425">
                  <w:marLeft w:val="0"/>
                  <w:marRight w:val="0"/>
                  <w:marTop w:val="0"/>
                  <w:marBottom w:val="0"/>
                  <w:divBdr>
                    <w:top w:val="none" w:sz="0" w:space="0" w:color="auto"/>
                    <w:left w:val="none" w:sz="0" w:space="0" w:color="auto"/>
                    <w:bottom w:val="none" w:sz="0" w:space="0" w:color="auto"/>
                    <w:right w:val="none" w:sz="0" w:space="0" w:color="auto"/>
                  </w:divBdr>
                  <w:divsChild>
                    <w:div w:id="1737195305">
                      <w:marLeft w:val="0"/>
                      <w:marRight w:val="0"/>
                      <w:marTop w:val="0"/>
                      <w:marBottom w:val="0"/>
                      <w:divBdr>
                        <w:top w:val="none" w:sz="0" w:space="0" w:color="auto"/>
                        <w:left w:val="none" w:sz="0" w:space="0" w:color="auto"/>
                        <w:bottom w:val="none" w:sz="0" w:space="0" w:color="auto"/>
                        <w:right w:val="none" w:sz="0" w:space="0" w:color="auto"/>
                      </w:divBdr>
                      <w:divsChild>
                        <w:div w:id="850991047">
                          <w:marLeft w:val="0"/>
                          <w:marRight w:val="0"/>
                          <w:marTop w:val="0"/>
                          <w:marBottom w:val="0"/>
                          <w:divBdr>
                            <w:top w:val="none" w:sz="0" w:space="0" w:color="auto"/>
                            <w:left w:val="none" w:sz="0" w:space="0" w:color="auto"/>
                            <w:bottom w:val="none" w:sz="0" w:space="0" w:color="auto"/>
                            <w:right w:val="none" w:sz="0" w:space="0" w:color="auto"/>
                          </w:divBdr>
                          <w:divsChild>
                            <w:div w:id="252516638">
                              <w:marLeft w:val="0"/>
                              <w:marRight w:val="0"/>
                              <w:marTop w:val="0"/>
                              <w:marBottom w:val="0"/>
                              <w:divBdr>
                                <w:top w:val="none" w:sz="0" w:space="0" w:color="auto"/>
                                <w:left w:val="none" w:sz="0" w:space="0" w:color="auto"/>
                                <w:bottom w:val="none" w:sz="0" w:space="0" w:color="auto"/>
                                <w:right w:val="none" w:sz="0" w:space="0" w:color="auto"/>
                              </w:divBdr>
                            </w:div>
                          </w:divsChild>
                        </w:div>
                        <w:div w:id="996111315">
                          <w:marLeft w:val="0"/>
                          <w:marRight w:val="0"/>
                          <w:marTop w:val="0"/>
                          <w:marBottom w:val="0"/>
                          <w:divBdr>
                            <w:top w:val="none" w:sz="0" w:space="0" w:color="auto"/>
                            <w:left w:val="none" w:sz="0" w:space="0" w:color="auto"/>
                            <w:bottom w:val="none" w:sz="0" w:space="0" w:color="auto"/>
                            <w:right w:val="none" w:sz="0" w:space="0" w:color="auto"/>
                          </w:divBdr>
                          <w:divsChild>
                            <w:div w:id="186723715">
                              <w:marLeft w:val="0"/>
                              <w:marRight w:val="0"/>
                              <w:marTop w:val="0"/>
                              <w:marBottom w:val="0"/>
                              <w:divBdr>
                                <w:top w:val="none" w:sz="0" w:space="0" w:color="auto"/>
                                <w:left w:val="none" w:sz="0" w:space="0" w:color="auto"/>
                                <w:bottom w:val="none" w:sz="0" w:space="0" w:color="auto"/>
                                <w:right w:val="none" w:sz="0" w:space="0" w:color="auto"/>
                              </w:divBdr>
                            </w:div>
                            <w:div w:id="2119253344">
                              <w:marLeft w:val="0"/>
                              <w:marRight w:val="0"/>
                              <w:marTop w:val="0"/>
                              <w:marBottom w:val="0"/>
                              <w:divBdr>
                                <w:top w:val="none" w:sz="0" w:space="0" w:color="auto"/>
                                <w:left w:val="none" w:sz="0" w:space="0" w:color="auto"/>
                                <w:bottom w:val="none" w:sz="0" w:space="0" w:color="auto"/>
                                <w:right w:val="none" w:sz="0" w:space="0" w:color="auto"/>
                              </w:divBdr>
                            </w:div>
                            <w:div w:id="634407045">
                              <w:marLeft w:val="0"/>
                              <w:marRight w:val="0"/>
                              <w:marTop w:val="0"/>
                              <w:marBottom w:val="0"/>
                              <w:divBdr>
                                <w:top w:val="none" w:sz="0" w:space="0" w:color="auto"/>
                                <w:left w:val="none" w:sz="0" w:space="0" w:color="auto"/>
                                <w:bottom w:val="none" w:sz="0" w:space="0" w:color="auto"/>
                                <w:right w:val="none" w:sz="0" w:space="0" w:color="auto"/>
                              </w:divBdr>
                            </w:div>
                          </w:divsChild>
                        </w:div>
                        <w:div w:id="1953318849">
                          <w:marLeft w:val="0"/>
                          <w:marRight w:val="0"/>
                          <w:marTop w:val="0"/>
                          <w:marBottom w:val="0"/>
                          <w:divBdr>
                            <w:top w:val="none" w:sz="0" w:space="0" w:color="auto"/>
                            <w:left w:val="none" w:sz="0" w:space="0" w:color="auto"/>
                            <w:bottom w:val="none" w:sz="0" w:space="0" w:color="auto"/>
                            <w:right w:val="none" w:sz="0" w:space="0" w:color="auto"/>
                          </w:divBdr>
                          <w:divsChild>
                            <w:div w:id="1138448380">
                              <w:marLeft w:val="0"/>
                              <w:marRight w:val="0"/>
                              <w:marTop w:val="0"/>
                              <w:marBottom w:val="0"/>
                              <w:divBdr>
                                <w:top w:val="none" w:sz="0" w:space="0" w:color="auto"/>
                                <w:left w:val="none" w:sz="0" w:space="0" w:color="auto"/>
                                <w:bottom w:val="none" w:sz="0" w:space="0" w:color="auto"/>
                                <w:right w:val="none" w:sz="0" w:space="0" w:color="auto"/>
                              </w:divBdr>
                              <w:divsChild>
                                <w:div w:id="105939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lcgil.it/scuola/elezioni-cspi-2015-come-si-vota.flc" TargetMode="External"/><Relationship Id="rId3" Type="http://schemas.microsoft.com/office/2007/relationships/stylesWithEffects" Target="stylesWithEffects.xml"/><Relationship Id="rId7" Type="http://schemas.openxmlformats.org/officeDocument/2006/relationships/hyperlink" Target="http://www.flcgil.it/scuola/sciopero-attivita-aggiuntive-9-18-aprile-2015-come-aderire.fl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flcgil.it/leggi-normative/documenti/disegni-di-legge/disegno-di-legge-c-2994-riforma-della-scuola-e-relazione-tecnica-testo-presentato-alla-camera-dei-deputati-il-27-marzo-2015.flc"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flcgil.it/scuola/cspi-si-vota-il-28-aprile.flc"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2095</Words>
  <Characters>11946</Characters>
  <Application>Microsoft Office Word</Application>
  <DocSecurity>0</DocSecurity>
  <Lines>99</Lines>
  <Paragraphs>28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14013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mmattiol</dc:creator>
  <cp:lastModifiedBy>mmattiol</cp:lastModifiedBy>
  <cp:revision>1</cp:revision>
  <dcterms:created xsi:type="dcterms:W3CDTF">2015-04-27T09:15:00Z</dcterms:created>
  <dcterms:modified xsi:type="dcterms:W3CDTF">2015-04-27T09:16:00Z</dcterms:modified>
</cp:coreProperties>
</file>